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0121C11A" w14:textId="77777777">
        <w:tc>
          <w:tcPr>
            <w:tcW w:w="6379" w:type="dxa"/>
            <w:gridSpan w:val="2"/>
            <w:tcBorders>
              <w:top w:val="nil"/>
              <w:left w:val="nil"/>
              <w:bottom w:val="nil"/>
              <w:right w:val="nil"/>
            </w:tcBorders>
            <w:vAlign w:val="center"/>
          </w:tcPr>
          <w:p w:rsidR="004330ED" w:rsidP="00EA1CE4" w:rsidRDefault="004330ED" w14:paraId="3BDD6E8B"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38E69653"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35350B5D" w14:textId="77777777">
        <w:trPr>
          <w:cantSplit/>
        </w:trPr>
        <w:tc>
          <w:tcPr>
            <w:tcW w:w="10348" w:type="dxa"/>
            <w:gridSpan w:val="3"/>
            <w:tcBorders>
              <w:top w:val="single" w:color="auto" w:sz="4" w:space="0"/>
              <w:left w:val="nil"/>
              <w:bottom w:val="nil"/>
              <w:right w:val="nil"/>
            </w:tcBorders>
          </w:tcPr>
          <w:p w:rsidR="004330ED" w:rsidP="004A1E29" w:rsidRDefault="004330ED" w14:paraId="06F9B8D9"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130B9D45" w14:textId="77777777">
        <w:trPr>
          <w:cantSplit/>
        </w:trPr>
        <w:tc>
          <w:tcPr>
            <w:tcW w:w="10348" w:type="dxa"/>
            <w:gridSpan w:val="3"/>
            <w:tcBorders>
              <w:top w:val="nil"/>
              <w:left w:val="nil"/>
              <w:bottom w:val="nil"/>
              <w:right w:val="nil"/>
            </w:tcBorders>
          </w:tcPr>
          <w:p w:rsidR="004330ED" w:rsidP="00BF623B" w:rsidRDefault="004330ED" w14:paraId="4F01CC68" w14:textId="77777777">
            <w:pPr>
              <w:pStyle w:val="Amendement"/>
              <w:tabs>
                <w:tab w:val="clear" w:pos="3310"/>
                <w:tab w:val="clear" w:pos="3600"/>
              </w:tabs>
              <w:rPr>
                <w:rFonts w:ascii="Times New Roman" w:hAnsi="Times New Roman"/>
                <w:b w:val="0"/>
              </w:rPr>
            </w:pPr>
          </w:p>
        </w:tc>
      </w:tr>
      <w:tr w:rsidR="004330ED" w:rsidTr="00EA1CE4" w14:paraId="086268E7" w14:textId="77777777">
        <w:trPr>
          <w:cantSplit/>
        </w:trPr>
        <w:tc>
          <w:tcPr>
            <w:tcW w:w="10348" w:type="dxa"/>
            <w:gridSpan w:val="3"/>
            <w:tcBorders>
              <w:top w:val="nil"/>
              <w:left w:val="nil"/>
              <w:bottom w:val="single" w:color="auto" w:sz="4" w:space="0"/>
              <w:right w:val="nil"/>
            </w:tcBorders>
          </w:tcPr>
          <w:p w:rsidR="004330ED" w:rsidP="00BF623B" w:rsidRDefault="004330ED" w14:paraId="3F9D1604" w14:textId="77777777">
            <w:pPr>
              <w:pStyle w:val="Amendement"/>
              <w:tabs>
                <w:tab w:val="clear" w:pos="3310"/>
                <w:tab w:val="clear" w:pos="3600"/>
              </w:tabs>
              <w:rPr>
                <w:rFonts w:ascii="Times New Roman" w:hAnsi="Times New Roman"/>
              </w:rPr>
            </w:pPr>
          </w:p>
        </w:tc>
      </w:tr>
      <w:tr w:rsidR="004330ED" w:rsidTr="00EA1CE4" w14:paraId="5C09F35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425F2A67"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57EA8C01" w14:textId="77777777">
            <w:pPr>
              <w:suppressAutoHyphens/>
              <w:ind w:left="-70"/>
              <w:rPr>
                <w:b/>
              </w:rPr>
            </w:pPr>
          </w:p>
        </w:tc>
      </w:tr>
      <w:tr w:rsidR="003C21AC" w:rsidTr="00EA1CE4" w14:paraId="405FF74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F94F8C" w14:paraId="04C9C09B" w14:textId="02E6BE7B">
            <w:pPr>
              <w:pStyle w:val="Amendement"/>
              <w:tabs>
                <w:tab w:val="clear" w:pos="3310"/>
                <w:tab w:val="clear" w:pos="3600"/>
              </w:tabs>
              <w:rPr>
                <w:rFonts w:ascii="Times New Roman" w:hAnsi="Times New Roman"/>
              </w:rPr>
            </w:pPr>
            <w:r>
              <w:rPr>
                <w:rFonts w:ascii="Times New Roman" w:hAnsi="Times New Roman"/>
              </w:rPr>
              <w:t>36 774</w:t>
            </w:r>
          </w:p>
        </w:tc>
        <w:tc>
          <w:tcPr>
            <w:tcW w:w="7371" w:type="dxa"/>
            <w:gridSpan w:val="2"/>
          </w:tcPr>
          <w:p w:rsidRPr="00F94F8C" w:rsidR="003C21AC" w:rsidP="00F94F8C" w:rsidRDefault="00F94F8C" w14:paraId="4AEEA5EB" w14:textId="7DE3A36E">
            <w:pPr>
              <w:rPr>
                <w:b/>
                <w:bCs/>
                <w:szCs w:val="24"/>
              </w:rPr>
            </w:pPr>
            <w:r w:rsidRPr="00F94F8C">
              <w:rPr>
                <w:b/>
                <w:bCs/>
                <w:szCs w:val="24"/>
              </w:rPr>
              <w:t>Voorstel van wet van het lid Bushoff tot wijziging van de Mededingingswet in verband met de uitbreiding van het concentratietoezicht (Wet inroepbevoegdheid ACM)</w:t>
            </w:r>
          </w:p>
        </w:tc>
      </w:tr>
      <w:tr w:rsidR="003C21AC" w:rsidTr="00EA1CE4" w14:paraId="12C3B90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3C9DF62C"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12F9C33D" w14:textId="77777777">
            <w:pPr>
              <w:pStyle w:val="Amendement"/>
              <w:tabs>
                <w:tab w:val="clear" w:pos="3310"/>
                <w:tab w:val="clear" w:pos="3600"/>
              </w:tabs>
              <w:ind w:left="-70"/>
              <w:rPr>
                <w:rFonts w:ascii="Times New Roman" w:hAnsi="Times New Roman"/>
              </w:rPr>
            </w:pPr>
          </w:p>
        </w:tc>
      </w:tr>
      <w:tr w:rsidR="003C21AC" w:rsidTr="00EA1CE4" w14:paraId="733788F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99F02E8"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643F80A8" w14:textId="77777777">
            <w:pPr>
              <w:pStyle w:val="Amendement"/>
              <w:tabs>
                <w:tab w:val="clear" w:pos="3310"/>
                <w:tab w:val="clear" w:pos="3600"/>
              </w:tabs>
              <w:ind w:left="-70"/>
              <w:rPr>
                <w:rFonts w:ascii="Times New Roman" w:hAnsi="Times New Roman"/>
              </w:rPr>
            </w:pPr>
          </w:p>
        </w:tc>
      </w:tr>
      <w:tr w:rsidR="003C21AC" w:rsidTr="00EA1CE4" w14:paraId="71CC9B5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348E6710" w14:textId="1BB310B1">
            <w:pPr>
              <w:pStyle w:val="Amendement"/>
              <w:tabs>
                <w:tab w:val="clear" w:pos="3310"/>
                <w:tab w:val="clear" w:pos="3600"/>
              </w:tabs>
              <w:rPr>
                <w:rFonts w:ascii="Times New Roman" w:hAnsi="Times New Roman"/>
              </w:rPr>
            </w:pPr>
            <w:r w:rsidRPr="00C035D4">
              <w:rPr>
                <w:rFonts w:ascii="Times New Roman" w:hAnsi="Times New Roman"/>
              </w:rPr>
              <w:t xml:space="preserve">Nr. </w:t>
            </w:r>
            <w:r w:rsidR="00345F2B">
              <w:rPr>
                <w:rFonts w:ascii="Times New Roman" w:hAnsi="Times New Roman"/>
                <w:caps/>
              </w:rPr>
              <w:t>12</w:t>
            </w:r>
          </w:p>
        </w:tc>
        <w:tc>
          <w:tcPr>
            <w:tcW w:w="7371" w:type="dxa"/>
            <w:gridSpan w:val="2"/>
          </w:tcPr>
          <w:p w:rsidRPr="00C035D4" w:rsidR="003C21AC" w:rsidP="006E0971" w:rsidRDefault="003C21AC" w14:paraId="5614AA0D" w14:textId="5E88800B">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F94F8C">
              <w:rPr>
                <w:rFonts w:ascii="Times New Roman" w:hAnsi="Times New Roman"/>
                <w:caps/>
              </w:rPr>
              <w:t>Bühler</w:t>
            </w:r>
          </w:p>
        </w:tc>
      </w:tr>
      <w:tr w:rsidR="003C21AC" w:rsidTr="00EA1CE4" w14:paraId="5338F6F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517185DE"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0B298751" w14:textId="5535D5AF">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345F2B">
              <w:rPr>
                <w:rFonts w:ascii="Times New Roman" w:hAnsi="Times New Roman"/>
                <w:b w:val="0"/>
              </w:rPr>
              <w:t>2 september 2026</w:t>
            </w:r>
          </w:p>
        </w:tc>
      </w:tr>
      <w:tr w:rsidR="00B01BA6" w:rsidTr="00EA1CE4" w14:paraId="0AEF261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4B66E840"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45E8B185" w14:textId="77777777">
            <w:pPr>
              <w:pStyle w:val="Amendement"/>
              <w:tabs>
                <w:tab w:val="clear" w:pos="3310"/>
                <w:tab w:val="clear" w:pos="3600"/>
              </w:tabs>
              <w:ind w:left="-70"/>
              <w:rPr>
                <w:rFonts w:ascii="Times New Roman" w:hAnsi="Times New Roman"/>
                <w:b w:val="0"/>
              </w:rPr>
            </w:pPr>
          </w:p>
        </w:tc>
      </w:tr>
      <w:tr w:rsidRPr="00EA69AC" w:rsidR="00B01BA6" w:rsidTr="00EA1CE4" w14:paraId="592C2C9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139513FA" w14:textId="77777777">
            <w:pPr>
              <w:ind w:firstLine="284"/>
            </w:pPr>
            <w:r w:rsidRPr="00EA69AC">
              <w:t>De ondergetekende stelt het volgende amendement voor:</w:t>
            </w:r>
          </w:p>
        </w:tc>
      </w:tr>
    </w:tbl>
    <w:p w:rsidRPr="00EA69AC" w:rsidR="005B1DCC" w:rsidP="00BF623B" w:rsidRDefault="005B1DCC" w14:paraId="03B2FBE5" w14:textId="77777777"/>
    <w:p w:rsidR="005B1DCC" w:rsidP="0088452C" w:rsidRDefault="00F94F8C" w14:paraId="04763C10" w14:textId="3E104218">
      <w:pPr>
        <w:ind w:firstLine="284"/>
      </w:pPr>
      <w:r>
        <w:t>In artikel I wordt na de aanhef een onderdeel ingevoegd, luidende:</w:t>
      </w:r>
    </w:p>
    <w:p w:rsidR="00F94F8C" w:rsidP="00F94F8C" w:rsidRDefault="00F94F8C" w14:paraId="59FE61B3" w14:textId="77777777"/>
    <w:p w:rsidR="00F94F8C" w:rsidP="00F94F8C" w:rsidRDefault="00F94F8C" w14:paraId="31AD58DD" w14:textId="705930C9">
      <w:r>
        <w:t>0A</w:t>
      </w:r>
    </w:p>
    <w:p w:rsidR="00F94F8C" w:rsidP="00F94F8C" w:rsidRDefault="00F94F8C" w14:paraId="3E2C76E7" w14:textId="77777777"/>
    <w:p w:rsidRPr="00EA69AC" w:rsidR="00F94F8C" w:rsidP="00F94F8C" w:rsidRDefault="00F94F8C" w14:paraId="321387F0" w14:textId="596BD46A">
      <w:r>
        <w:tab/>
        <w:t>In artikel 29 wordt “</w:t>
      </w:r>
      <w:r w:rsidRPr="00F94F8C">
        <w:t>€</w:t>
      </w:r>
      <w:r>
        <w:t xml:space="preserve"> 30 000 000” vervangen door “</w:t>
      </w:r>
      <w:r w:rsidRPr="00F94F8C">
        <w:t>€</w:t>
      </w:r>
      <w:r>
        <w:t xml:space="preserve"> 75 000 000”.</w:t>
      </w:r>
    </w:p>
    <w:p w:rsidR="00EA1CE4" w:rsidP="00EA1CE4" w:rsidRDefault="00EA1CE4" w14:paraId="46EAEA4F" w14:textId="77777777"/>
    <w:p w:rsidRPr="00EA69AC" w:rsidR="003C21AC" w:rsidP="00EA1CE4" w:rsidRDefault="003C21AC" w14:paraId="3D2BB0E4" w14:textId="77777777">
      <w:pPr>
        <w:rPr>
          <w:b/>
        </w:rPr>
      </w:pPr>
      <w:r w:rsidRPr="00EA69AC">
        <w:rPr>
          <w:b/>
        </w:rPr>
        <w:t>Toelichting</w:t>
      </w:r>
    </w:p>
    <w:p w:rsidRPr="00EA69AC" w:rsidR="003C21AC" w:rsidP="00BF623B" w:rsidRDefault="003C21AC" w14:paraId="502DECA6" w14:textId="77777777"/>
    <w:p w:rsidR="00F94F8C" w:rsidP="00F94F8C" w:rsidRDefault="00F94F8C" w14:paraId="29437069" w14:textId="77777777">
      <w:r w:rsidRPr="00F94F8C">
        <w:t>Dit amendement strekt ertoe de nationale omzetdrempel voor de verplichte melding van concentraties te verhogen van € 30 miljoen naar € 75 miljoen. </w:t>
      </w:r>
    </w:p>
    <w:p w:rsidRPr="00F94F8C" w:rsidR="00F94F8C" w:rsidP="00F94F8C" w:rsidRDefault="00F94F8C" w14:paraId="797AD9E8" w14:textId="77777777"/>
    <w:p w:rsidR="00F94F8C" w:rsidP="00F94F8C" w:rsidRDefault="00F94F8C" w14:paraId="1B3C223F" w14:textId="77777777">
      <w:r w:rsidRPr="00F94F8C">
        <w:t>De huidige omzetdrempel is ruim twintig jaar geleden vastgesteld en sindsdien niet aangepast. Mede als gevolg van inflatie is de reële hoogte van deze drempel in de afgelopen jaren afgenomen. Tegelijkertijd wordt een aanzienlijk aantal concentraties dat onder de huidige meldingsplicht valt door de ACM verkort afgedaan, omdat geen mededingingsproblemen worden verwacht. </w:t>
      </w:r>
    </w:p>
    <w:p w:rsidRPr="00F94F8C" w:rsidR="00F94F8C" w:rsidP="00F94F8C" w:rsidRDefault="00F94F8C" w14:paraId="09A3252E" w14:textId="77777777"/>
    <w:p w:rsidR="00345F2B" w:rsidP="00F94F8C" w:rsidRDefault="00F94F8C" w14:paraId="2D03121A" w14:textId="71777E06">
      <w:r w:rsidRPr="00F94F8C">
        <w:t>Indiener acht het wenselijk de capaciteit van de ACM gerichter in te zetten op concentraties waarbij daadwerkelijk risico's voor de mededinging bestaan en de regeldruk voor ondernemingen te verminderen. De voorgestelde inroepbevoegdheid vormt daarbij een aanvullend vangnet</w:t>
      </w:r>
      <w:r w:rsidR="00345F2B">
        <w:t xml:space="preserve"> v</w:t>
      </w:r>
      <w:r w:rsidRPr="00F94F8C">
        <w:t>oor</w:t>
      </w:r>
      <w:r w:rsidR="00345F2B">
        <w:t xml:space="preserve"> </w:t>
      </w:r>
      <w:proofErr w:type="spellStart"/>
      <w:r w:rsidR="00345F2B">
        <w:t>o</w:t>
      </w:r>
      <w:r w:rsidRPr="00F94F8C">
        <w:t>nderdrempelige</w:t>
      </w:r>
      <w:proofErr w:type="spellEnd"/>
    </w:p>
    <w:p w:rsidRPr="00F94F8C" w:rsidR="00F94F8C" w:rsidP="00F94F8C" w:rsidRDefault="00F94F8C" w14:paraId="6CFA83E8" w14:textId="0A44ADB7">
      <w:r w:rsidRPr="00F94F8C">
        <w:t>concentraties waarbij wel aanleiding bestaat voor nader onderzoek. </w:t>
      </w:r>
    </w:p>
    <w:p w:rsidR="00345F2B" w:rsidP="00F94F8C" w:rsidRDefault="00345F2B" w14:paraId="458A8F16" w14:textId="77777777"/>
    <w:p w:rsidRPr="00F94F8C" w:rsidR="00F94F8C" w:rsidP="00F94F8C" w:rsidRDefault="00F94F8C" w14:paraId="61A33DE3" w14:textId="07C90326">
      <w:r w:rsidRPr="00F94F8C">
        <w:t>Volgens de door het kabinet aangehaalde cijfers van de ACM zou een verhoging van de omzetdrempel naar € 75 miljoen het gemiddelde aantal verkorte besluiten terugbrengen van ongeveer 130 naar ongeveer 40 per jaar. Hierdoor ontstaat ruimte voor de ACM om haar capaciteit doeltreffender in te zetten voor onder meer de beoordeling van potentieel problematische </w:t>
      </w:r>
      <w:proofErr w:type="spellStart"/>
      <w:r w:rsidRPr="00F94F8C">
        <w:t>onderdrempelige</w:t>
      </w:r>
      <w:proofErr w:type="spellEnd"/>
      <w:r w:rsidRPr="00F94F8C">
        <w:t> concentraties. </w:t>
      </w:r>
    </w:p>
    <w:p w:rsidRPr="00EA69AC" w:rsidR="005B1DCC" w:rsidP="00BF623B" w:rsidRDefault="005B1DCC" w14:paraId="02B2A3D7" w14:textId="77777777"/>
    <w:p w:rsidRPr="00EA69AC" w:rsidR="00B4708A" w:rsidP="00EA1CE4" w:rsidRDefault="00F94F8C" w14:paraId="1A44153F" w14:textId="70DEA62A">
      <w:proofErr w:type="spellStart"/>
      <w:r>
        <w:t>Bühler</w:t>
      </w:r>
      <w:proofErr w:type="spellEnd"/>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50717" w14:textId="77777777" w:rsidR="00274BFB" w:rsidRDefault="00274BFB">
      <w:pPr>
        <w:spacing w:line="20" w:lineRule="exact"/>
      </w:pPr>
    </w:p>
  </w:endnote>
  <w:endnote w:type="continuationSeparator" w:id="0">
    <w:p w14:paraId="0EE130CA" w14:textId="77777777" w:rsidR="00274BFB" w:rsidRDefault="00274BFB">
      <w:pPr>
        <w:pStyle w:val="Amendement"/>
      </w:pPr>
      <w:r>
        <w:rPr>
          <w:b w:val="0"/>
        </w:rPr>
        <w:t xml:space="preserve"> </w:t>
      </w:r>
    </w:p>
  </w:endnote>
  <w:endnote w:type="continuationNotice" w:id="1">
    <w:p w14:paraId="19711641" w14:textId="77777777" w:rsidR="00274BFB" w:rsidRDefault="00274BFB">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D55AF" w14:textId="77777777" w:rsidR="00274BFB" w:rsidRDefault="00274BFB">
      <w:pPr>
        <w:pStyle w:val="Amendement"/>
      </w:pPr>
      <w:r>
        <w:rPr>
          <w:b w:val="0"/>
        </w:rPr>
        <w:separator/>
      </w:r>
    </w:p>
  </w:footnote>
  <w:footnote w:type="continuationSeparator" w:id="0">
    <w:p w14:paraId="1F8DB357" w14:textId="77777777" w:rsidR="00274BFB" w:rsidRDefault="00274B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F8C"/>
    <w:rsid w:val="00052244"/>
    <w:rsid w:val="0007471A"/>
    <w:rsid w:val="000D17BF"/>
    <w:rsid w:val="00157CAF"/>
    <w:rsid w:val="001656EE"/>
    <w:rsid w:val="0016653D"/>
    <w:rsid w:val="001D56AF"/>
    <w:rsid w:val="001E0E21"/>
    <w:rsid w:val="00212E0A"/>
    <w:rsid w:val="002153B0"/>
    <w:rsid w:val="0021777F"/>
    <w:rsid w:val="00241DD0"/>
    <w:rsid w:val="00274BFB"/>
    <w:rsid w:val="00297813"/>
    <w:rsid w:val="002A0713"/>
    <w:rsid w:val="00345F2B"/>
    <w:rsid w:val="003C21AC"/>
    <w:rsid w:val="003C5218"/>
    <w:rsid w:val="003C7876"/>
    <w:rsid w:val="003E2308"/>
    <w:rsid w:val="003E2F98"/>
    <w:rsid w:val="00413B00"/>
    <w:rsid w:val="0042574B"/>
    <w:rsid w:val="004330ED"/>
    <w:rsid w:val="00481C91"/>
    <w:rsid w:val="004911E3"/>
    <w:rsid w:val="00497D57"/>
    <w:rsid w:val="004A1E29"/>
    <w:rsid w:val="004A7DD4"/>
    <w:rsid w:val="004B50D8"/>
    <w:rsid w:val="004B5B90"/>
    <w:rsid w:val="00501109"/>
    <w:rsid w:val="005703C9"/>
    <w:rsid w:val="00597703"/>
    <w:rsid w:val="005A6097"/>
    <w:rsid w:val="005B1DCC"/>
    <w:rsid w:val="005B7323"/>
    <w:rsid w:val="005C25B9"/>
    <w:rsid w:val="006267E6"/>
    <w:rsid w:val="006558D2"/>
    <w:rsid w:val="00672D25"/>
    <w:rsid w:val="006738BC"/>
    <w:rsid w:val="006D3E69"/>
    <w:rsid w:val="006E0971"/>
    <w:rsid w:val="007709F6"/>
    <w:rsid w:val="00783215"/>
    <w:rsid w:val="007965FC"/>
    <w:rsid w:val="007D2608"/>
    <w:rsid w:val="008164E5"/>
    <w:rsid w:val="00830081"/>
    <w:rsid w:val="008467D7"/>
    <w:rsid w:val="00852541"/>
    <w:rsid w:val="00865D47"/>
    <w:rsid w:val="0088452C"/>
    <w:rsid w:val="008D7DCB"/>
    <w:rsid w:val="009055DB"/>
    <w:rsid w:val="00905ECB"/>
    <w:rsid w:val="00934ADD"/>
    <w:rsid w:val="00946F4A"/>
    <w:rsid w:val="0096165D"/>
    <w:rsid w:val="00992206"/>
    <w:rsid w:val="00993E91"/>
    <w:rsid w:val="009A409F"/>
    <w:rsid w:val="009B5845"/>
    <w:rsid w:val="009C0C1F"/>
    <w:rsid w:val="00A10505"/>
    <w:rsid w:val="00A1288B"/>
    <w:rsid w:val="00A53203"/>
    <w:rsid w:val="00A772EB"/>
    <w:rsid w:val="00B01BA6"/>
    <w:rsid w:val="00B4708A"/>
    <w:rsid w:val="00BF623B"/>
    <w:rsid w:val="00C035D4"/>
    <w:rsid w:val="00C679BF"/>
    <w:rsid w:val="00C81BBD"/>
    <w:rsid w:val="00CD3132"/>
    <w:rsid w:val="00CE27CD"/>
    <w:rsid w:val="00D134F3"/>
    <w:rsid w:val="00D47D01"/>
    <w:rsid w:val="00D774B3"/>
    <w:rsid w:val="00DD35A5"/>
    <w:rsid w:val="00DE2948"/>
    <w:rsid w:val="00DF68BE"/>
    <w:rsid w:val="00DF712A"/>
    <w:rsid w:val="00DF74B5"/>
    <w:rsid w:val="00E25DF4"/>
    <w:rsid w:val="00E3485D"/>
    <w:rsid w:val="00E6619B"/>
    <w:rsid w:val="00E908D7"/>
    <w:rsid w:val="00EA1CE4"/>
    <w:rsid w:val="00EA69AC"/>
    <w:rsid w:val="00EB40A1"/>
    <w:rsid w:val="00EC3112"/>
    <w:rsid w:val="00ED5E57"/>
    <w:rsid w:val="00EE1BD8"/>
    <w:rsid w:val="00F82798"/>
    <w:rsid w:val="00F94F8C"/>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A28174"/>
  <w15:docId w15:val="{5C223011-5816-4DFB-A115-3DA38FA59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277</ap:Words>
  <ap:Characters>1528</ap:Characters>
  <ap:DocSecurity>4</ap:DocSecurity>
  <ap:Lines>12</ap:Lines>
  <ap:Paragraphs>3</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1802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2026-09-02T09:00:00.0000000Z</dcterms:created>
  <dcterms:modified xsi:type="dcterms:W3CDTF">2026-09-02T09:00:00.0000000Z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