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2026Z17699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 september 2026)</w:t>
        <w:br/>
      </w:r>
    </w:p>
    <w:p>
      <w:r>
        <w:t xml:space="preserve">Vragen van het lid Coenradie (JA21) aan de staatssecretaris van Justitie en Veiligheid over slechte beveiliging en controle op identiteitsfraude bij casino’s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Bent u op de hoogte van de aflevering van PowCrime over casino’s?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Heeft u een beeld van de mate van identiteitsfraude die gepleegd wordt in casino’s?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Welke richtlijnen zijn er bij casino’s voor het controleren van iemands identiteitsbewijs?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Is er een verplichting bij alle casino’s om een foto te maken van de desbetreffende gokker?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Hoe wordt de foto gematcht aan het identiteitsbewijs?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Hoe worden medewerkers/beveiligers getraind op het controleren van het identiteitsbewijs en foto?</w:t>
      </w:r>
      <w:r>
        <w:br/>
      </w:r>
    </w:p>
    <w:p>
      <w:pPr>
        <w:pStyle w:val="ListParagraph"/>
        <w:numPr>
          <w:ilvl w:val="0"/>
          <w:numId w:val="100517480"/>
        </w:numPr>
        <w:ind w:left="360"/>
      </w:pPr>
      <w:r>
        <w:t xml:space="preserve">Welke mogelijkheden ziet u om de identiteitscontrole te verscherpen bij casino’s, om identiteitsfraude te voorkomen?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