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word/theme/theme1.xml" ContentType="application/vnd.openxmlformats-officedocument.theme+xml"/>
  <Override PartName="/word/webSettings.xml" ContentType="application/vnd.openxmlformats-officedocument.wordprocessingml.webSettings+xml"/>
  <Override PartName="/word/document.xml" ContentType="application/vnd.openxmlformats-officedocument.wordprocessingml.document.main+xml"/>
  <Override PartName="/word/fontTable.xml" ContentType="application/vnd.openxmlformats-officedocument.wordprocessingml.fontTable+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pPr>
        <w:rPr>
          <w:b w:val="1"/>
          <w:bCs w:val="1"/>
        </w:rPr>
      </w:pPr>
      <w:bookmarkStart w:name="_GoBack" w:id="0"/>
      <w:bookmarkEnd w:id="0"/>
      <w:proofErr w:type="spellStart"/>
      <w:r w:rsidRPr="250AE766" w:rsidR="250AE766">
        <w:rPr>
          <w:b w:val="1"/>
          <w:bCs w:val="1"/>
        </w:rPr>
        <w:t>2026Z17702</w:t>
        <w:br/>
      </w:r>
      <w:proofErr w:type="spellEnd"/>
    </w:p>
    <w:p>
      <w:pPr>
        <w:pStyle w:val="Normal"/>
        <w:rPr>
          <w:b w:val="1"/>
          <w:bCs w:val="1"/>
        </w:rPr>
      </w:pPr>
      <w:r w:rsidR="250AE766">
        <w:rPr>
          <w:b w:val="0"/>
          <w:bCs w:val="0"/>
        </w:rPr>
        <w:t>(ingezonden 2 september 2026)</w:t>
        <w:br/>
      </w:r>
    </w:p>
    <w:p>
      <w:r>
        <w:t xml:space="preserve">Vragen van de leden Dobbe (SP) en Teunissen (PvdD) aan de minister van Buitenlandse Zaken over de derde herzieningsconferentie over het Verdrag inzake clustermunitie</w:t>
      </w:r>
      <w:r>
        <w:br/>
      </w:r>
    </w:p>
    <w:p>
      <w:r>
        <w:t xml:space="preserve"> </w:t>
      </w:r>
      <w:r>
        <w:br/>
      </w:r>
    </w:p>
    <w:p>
      <w:pPr>
        <w:pStyle w:val="ListParagraph"/>
        <w:numPr>
          <w:ilvl w:val="0"/>
          <w:numId w:val="100517500"/>
        </w:numPr>
        <w:ind w:left="360"/>
      </w:pPr>
      <w:r>
        <w:t xml:space="preserve">Kunt u aangeven wat de Nederlandse inzet is bij de derde herzieningsconferentie over het Verdrag inzake clustermunitie? Kunt u dit doen voor 14 september, wanneer de conferentie begint?[1]</w:t>
      </w:r>
      <w:r>
        <w:br/>
      </w:r>
    </w:p>
    <w:p>
      <w:pPr>
        <w:pStyle w:val="ListParagraph"/>
        <w:numPr>
          <w:ilvl w:val="0"/>
          <w:numId w:val="100517500"/>
        </w:numPr>
        <w:ind w:left="360"/>
      </w:pPr>
      <w:r>
        <w:t xml:space="preserve">Wat is uw reactie op recente berichten over het gebruik van clustermunitie in Mali, een verdragspartij[2]? Deelt u de zorgen van de Cluster Munitie Coalitie hierover?</w:t>
      </w:r>
      <w:r>
        <w:br/>
      </w:r>
    </w:p>
    <w:p>
      <w:pPr>
        <w:pStyle w:val="ListParagraph"/>
        <w:numPr>
          <w:ilvl w:val="0"/>
          <w:numId w:val="100517500"/>
        </w:numPr>
        <w:ind w:left="360"/>
      </w:pPr>
      <w:r>
        <w:t xml:space="preserve">Wat is uw reactie op berichten over Russisch gebruik van clustermunitie eerder deze maand in Kiev[3]? Deelt u de zorgen van Human Rights Watch hierover?</w:t>
      </w:r>
      <w:r>
        <w:br/>
      </w:r>
    </w:p>
    <w:p>
      <w:pPr>
        <w:pStyle w:val="ListParagraph"/>
        <w:numPr>
          <w:ilvl w:val="0"/>
          <w:numId w:val="100517500"/>
        </w:numPr>
        <w:ind w:left="360"/>
      </w:pPr>
      <w:r>
        <w:t xml:space="preserve">Wat is uw reactie op het bericht dat Turkije clustermunitie aan Oekraïne wil leveren[4]? Deelt u de zorgen van Human Rights Watch hierover?</w:t>
      </w:r>
      <w:r>
        <w:br/>
      </w:r>
    </w:p>
    <w:p>
      <w:pPr>
        <w:pStyle w:val="ListParagraph"/>
        <w:numPr>
          <w:ilvl w:val="0"/>
          <w:numId w:val="100517500"/>
        </w:numPr>
        <w:ind w:left="360"/>
      </w:pPr>
      <w:r>
        <w:t xml:space="preserve">Hoe beoordeelt u deze en andere bedreigingen van de norm zoals vastgelegd in het Verdrag inzake clustermunitie, waaronder het vertrek van Litouwen uit het verdrag en de recentelijke toename van transfers en het gebruik van clustermunitie? Veroordeelt u dit? Zo nee, waarom niet?</w:t>
      </w:r>
      <w:r>
        <w:br/>
      </w:r>
    </w:p>
    <w:p>
      <w:pPr>
        <w:pStyle w:val="ListParagraph"/>
        <w:numPr>
          <w:ilvl w:val="0"/>
          <w:numId w:val="100517500"/>
        </w:numPr>
        <w:ind w:left="360"/>
      </w:pPr>
      <w:r>
        <w:t xml:space="preserve">Hoe geeft u bij de genoemde gevallen hierboven invulling aan artikel 21.2 (‘Elke Staat die Partij is stelt de regeringen van alle in het derde lid van dit artikel bedoelde Staten die geen Partij zijn bij dit Verdrag in kennis van zijn verplichtingen uit hoofde van dit Verdrag, bevordert de normen die erin zijn vastgelegd en spant zich tot het uiterste in Staten die geen Partij zijn bij dit Verdrag te weerhouden van het gebruik van clustermunitie’) van het Verdrag inzake clustermunitie[5]?</w:t>
      </w:r>
      <w:r>
        <w:br/>
      </w:r>
    </w:p>
    <w:p>
      <w:pPr>
        <w:pStyle w:val="ListParagraph"/>
        <w:numPr>
          <w:ilvl w:val="0"/>
          <w:numId w:val="100517500"/>
        </w:numPr>
        <w:ind w:left="360"/>
      </w:pPr>
      <w:r>
        <w:t xml:space="preserve">Bent u bereid om tijdens de herzieningsconferentie uw specifieke zorgen over bovengenoemde gevallen uit te spreken, zowel in het geval van verdragsschendingen als overige gebruik en zo elk gebruik van clustermunitie, waar dan ook ter wereld en door wie dan ook te veroordelen? Zo nee, waarom niet?</w:t>
      </w:r>
      <w:r>
        <w:br/>
      </w:r>
    </w:p>
    <w:p>
      <w:r>
        <w:t xml:space="preserve"> </w:t>
      </w:r>
      <w:r>
        <w:br/>
      </w:r>
    </w:p>
    <w:p>
      <w:r>
        <w:t xml:space="preserve"> </w:t>
      </w:r>
      <w:r>
        <w:br/>
      </w:r>
    </w:p>
    <w:p>
      <w:r>
        <w:t xml:space="preserve">[1] Convention on Cluster Munitions, 'Third Review Conference (3RC)' (https://www.clusterconvention.org/third-review-conference-3rc/)</w:t>
      </w:r>
      <w:r>
        <w:br/>
      </w:r>
    </w:p>
    <w:p>
      <w:r>
        <w:t xml:space="preserve">[2] ICBL, 21 mei 2026, 'Cluster Munition Coalition Statement on Alleged Use of Cluster Munitions in Mali' (https://icblcmc.org/our-impact/cluster-munition-coalition-statement-on-alleged-use-of-cluster-munitions-in-mali)</w:t>
      </w:r>
      <w:r>
        <w:br/>
      </w:r>
    </w:p>
    <w:p>
      <w:r>
        <w:t xml:space="preserve">[3] Human Rights Watch, 13 augustus 2026, 'Russia: Cluster Munition Attack on Kyiv a Potential War Crime' (https://www.hrw.org/news/2026/08/13/russia-cluster-munition-attack-on-kyiv-a-potential-war-crime)</w:t>
      </w:r>
      <w:r>
        <w:br/>
      </w:r>
    </w:p>
    <w:p>
      <w:r>
        <w:t xml:space="preserve">[4] https://www.hrw.org/news/2026/08/11/turkiye-seeks-to-transfer-us-cluster-munitions-to-ukraine</w:t>
      </w:r>
      <w:r>
        <w:br/>
      </w:r>
    </w:p>
    <w:p>
      <w:r>
        <w:t xml:space="preserve">[5] Verdrag inzake clustermunitie, Dublin, 30 mei 2008 (https://wetten.overheid.nl/BWBV0003143/2008-05-30/?g=2008-05-30&amp;z=2025-11-29#Verdrag_2)</w:t>
      </w:r>
      <w:r>
        <w:br/>
      </w:r>
    </w:p>
    <w:sectPr>
      <w:pgSz w:w="12240" w:h="15840" w:orient="portrait"/>
      <w:pgMar w:top="1440" w:right="1440" w:bottom="1440" w:left="1440" w:header="720" w:footer="720" w:gutter="0"/>
      <w:cols w:space="720"/>
      <w:docGrid w:linePitch="360"/>
      <w:paperSrc w:first="4" w:other="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0002AFF" w:usb1="C000247B" w:usb2="00000009" w:usb3="00000000" w:csb0="000001FF" w:csb1="00000000"/>
  </w:font>
  <w:font w:name="Yu Mincho">
    <w:altName w:val="游明朝"/>
    <w:panose1 w:val="02020400000000000000"/>
    <w:charset w:val="80"/>
    <w:family w:val="roman"/>
    <w:pitch w:val="variable"/>
    <w:sig w:usb0="800002E7" w:usb1="2AC7FCFF" w:usb2="00000012" w:usb3="00000000" w:csb0="0002009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s>
</file>

<file path=word/numbering.xml><?xml version="1.0" encoding="utf-8"?>
<w:numbering xmlns:w="http://schemas.openxmlformats.org/wordprocessingml/2006/main">
  <w:abstractNum xmlns:w="http://schemas.openxmlformats.org/wordprocessingml/2006/main" w:abstractNumId="0">
    <w:multiLevelType xmlns:w="http://schemas.openxmlformats.org/wordprocessingml/2006/main" w:val="hybridMultilevel"/>
    <w:lvl xmlns:w="http://schemas.openxmlformats.org/wordprocessingml/2006/main" w:ilvl="0">
      <w:start w:val="1"/>
      <w:numFmt w:val="decimal"/>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1">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num w:numId="0">
    <w:abstractNumId w:val="0"/>
  </w:num>
  <w:num w:numId="1">
    <w:abstractNumId w:val="1"/>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p14">
  <w:zoom w:percent="100"/>
  <w:defaultTabStop w:val="708"/>
  <w:hyphenationZone w:val="425"/>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C01A6"/>
    <w:rsid w:val="002978F3"/>
    <w:rsid w:val="008C01A6"/>
    <w:rsid w:val="00CA4F27"/>
    <w:rsid w:val="00EA2C71"/>
    <w:rsid w:val="00F30DBE"/>
    <w:rsid w:val="5DD0DE64"/>
    <w:rsid w:val="5E5C2D08"/>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5:chartTrackingRefBased/>
  <w15:docId w15:val="{4A8C4E4F-3FD0-4B96-94C8-10EEF4EECB84}"/>
  <w14:docId w14:val="0279D971"/>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p14">
  <w:docDefaults>
    <w:rPrDefault>
      <w:rPr>
        <w:rFonts w:ascii="Times New Roman" w:hAnsi="Times New Roman" w:eastAsia="Times New Roman" w:cs="Times New Roman"/>
        <w:lang w:val="nl-NL" w:eastAsia="ja-JP" w:bidi="ar-SA"/>
      </w:rPr>
    </w:rPrDefault>
    <w:pPrDefault/>
  </w:docDefaults>
  <w:latentStyles w:defLockedState="0" w:defUIPriority="99" w:defSemiHidden="0" w:defUnhideWhenUsed="0" w:defQFormat="0" w:count="377">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styleId="Normal" w:default="1">
    <w:name w:val="Normal"/>
    <w:qFormat/>
    <w:rPr>
      <w:sz w:val="24"/>
      <w:szCs w:val="24"/>
      <w:lang w:val="nl-NL" w:eastAsia="nl-NL"/>
    </w:rPr>
  </w:style>
  <w:style w:type="character" w:styleId="DefaultParagraphFont" w:default="1">
    <w:name w:val="Default Paragraph Font"/>
    <w:uiPriority w:val="1"/>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NormalWeb">
    <w:name w:val="Normal (Web)"/>
    <w:basedOn w:val="Normal"/>
    <w:uiPriority w:val="99"/>
    <w:semiHidden/>
    <w:unhideWhenUsed/>
    <w:pPr>
      <w:spacing w:before="100" w:beforeAutospacing="1" w:after="100" w:afterAutospacing="1"/>
    </w:pPr>
  </w:style>
  <w:style w:type="character" w:styleId="Emphasis">
    <w:name w:val="Emphasis"/>
    <w:uiPriority w:val="20"/>
    <w:qFormat/>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encoding w:val="us-ascii"/>
  <w:optimizeForBrowser/>
  <w:allowPNG/>
</w:webSettings>
</file>

<file path=word/_rels/document.xml.rels>&#65279;<?xml version="1.0" encoding="utf-8"?><Relationships xmlns="http://schemas.openxmlformats.org/package/2006/relationships"><Relationship Type="http://schemas.openxmlformats.org/officeDocument/2006/relationships/settings" Target="settings.xml" Id="rId3"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theme" Target="theme/theme1.xml" Id="rId6" /><Relationship Type="http://schemas.openxmlformats.org/officeDocument/2006/relationships/fontTable" Target="fontTable.xml" Id="rId5" /><Relationship Type="http://schemas.openxmlformats.org/officeDocument/2006/relationships/webSettings" Target="webSettings.xml" Id="rId4"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DocSecurity>0</ap:DocSecurity>
  <ap:ScaleCrop>false</ap:ScaleCrop>
  <ap:SharedDoc>false</ap:SharedDoc>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lastModifiedBy/>
  <dc:description>------------------------</dc:description>
  <version/>
  <category/>
  <revision/>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0x01010038E60350FC170647B310166F2EB204D8</vt:lpwstr>
  </property>
</Properties>
</file>