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8C0" w:rsidP="003748C0" w:rsidRDefault="003748C0" w14:paraId="4DB0BEE5" w14:textId="77777777">
      <w:pPr>
        <w:pStyle w:val="Geenafstand"/>
        <w:rPr>
          <w:rFonts w:ascii="Verdana" w:hAnsi="Verdana"/>
          <w:i/>
          <w:iCs/>
          <w:sz w:val="18"/>
          <w:szCs w:val="18"/>
        </w:rPr>
      </w:pPr>
    </w:p>
    <w:p w:rsidR="003748C0" w:rsidP="003748C0" w:rsidRDefault="003748C0" w14:paraId="1CCFFD6F" w14:textId="219462D9">
      <w:pPr>
        <w:pStyle w:val="Geenafstand"/>
        <w:rPr>
          <w:rFonts w:ascii="Verdana" w:hAnsi="Verdana"/>
          <w:i/>
          <w:iCs/>
          <w:sz w:val="18"/>
          <w:szCs w:val="18"/>
        </w:rPr>
      </w:pPr>
      <w:r>
        <w:rPr>
          <w:rFonts w:ascii="Verdana" w:hAnsi="Verdana"/>
          <w:i/>
          <w:iCs/>
          <w:sz w:val="18"/>
          <w:szCs w:val="18"/>
        </w:rPr>
        <w:t>AH 2931</w:t>
      </w:r>
    </w:p>
    <w:p w:rsidR="003748C0" w:rsidP="003748C0" w:rsidRDefault="003748C0" w14:paraId="408140A2" w14:textId="77777777">
      <w:pPr>
        <w:pStyle w:val="Geenafstand"/>
        <w:rPr>
          <w:rFonts w:ascii="Verdana" w:hAnsi="Verdana"/>
          <w:i/>
          <w:iCs/>
          <w:sz w:val="18"/>
          <w:szCs w:val="18"/>
        </w:rPr>
      </w:pPr>
    </w:p>
    <w:p w:rsidR="003748C0" w:rsidP="003748C0" w:rsidRDefault="003748C0" w14:paraId="3C8AE603" w14:textId="3EFBD998">
      <w:pPr>
        <w:pStyle w:val="Geenafstand"/>
        <w:rPr>
          <w:rFonts w:ascii="Verdana" w:hAnsi="Verdana"/>
          <w:i/>
          <w:iCs/>
          <w:sz w:val="18"/>
          <w:szCs w:val="18"/>
        </w:rPr>
      </w:pPr>
      <w:r>
        <w:rPr>
          <w:rFonts w:ascii="Verdana" w:hAnsi="Verdana"/>
          <w:i/>
          <w:iCs/>
          <w:sz w:val="18"/>
          <w:szCs w:val="18"/>
        </w:rPr>
        <w:t>2026Z16804</w:t>
      </w:r>
    </w:p>
    <w:p w:rsidR="003748C0" w:rsidP="003748C0" w:rsidRDefault="003748C0" w14:paraId="4B6FDFDC" w14:textId="77777777">
      <w:pPr>
        <w:pStyle w:val="Geenafstand"/>
        <w:rPr>
          <w:rFonts w:ascii="Verdana" w:hAnsi="Verdana"/>
          <w:i/>
          <w:iCs/>
          <w:sz w:val="18"/>
          <w:szCs w:val="18"/>
        </w:rPr>
      </w:pPr>
    </w:p>
    <w:p w:rsidRPr="003748C0" w:rsidR="003748C0" w:rsidP="003748C0" w:rsidRDefault="003748C0" w14:paraId="07D3B1EA" w14:textId="1DEBE985">
      <w:pPr>
        <w:rPr>
          <w:rFonts w:ascii="Times New Roman" w:hAnsi="Times New Roman"/>
          <w:sz w:val="24"/>
          <w:szCs w:val="24"/>
        </w:rPr>
      </w:pPr>
      <w:r w:rsidRPr="003748C0">
        <w:rPr>
          <w:rFonts w:ascii="Verdana" w:hAnsi="Verdana"/>
          <w:i/>
          <w:iCs/>
          <w:sz w:val="24"/>
          <w:szCs w:val="24"/>
        </w:rPr>
        <w:t>Antwoord van minister Aartsen (Werk en Participatie)</w:t>
      </w:r>
      <w:r>
        <w:rPr>
          <w:rFonts w:ascii="Verdana" w:hAnsi="Verdana"/>
          <w:i/>
          <w:iCs/>
          <w:sz w:val="24"/>
          <w:szCs w:val="24"/>
        </w:rPr>
        <w:t xml:space="preserve"> en de </w:t>
      </w:r>
      <w:r w:rsidRPr="00D31852">
        <w:rPr>
          <w:rFonts w:ascii="Times New Roman" w:hAnsi="Times New Roman"/>
          <w:sz w:val="24"/>
          <w:szCs w:val="24"/>
        </w:rPr>
        <w:t>staatssecretaris van Financiën</w:t>
      </w:r>
      <w:r w:rsidRPr="003748C0">
        <w:rPr>
          <w:rFonts w:ascii="Verdana" w:hAnsi="Verdana"/>
          <w:i/>
          <w:iCs/>
          <w:sz w:val="24"/>
          <w:szCs w:val="24"/>
        </w:rPr>
        <w:t xml:space="preserve"> (ontvangen</w:t>
      </w:r>
      <w:r>
        <w:rPr>
          <w:rFonts w:ascii="Verdana" w:hAnsi="Verdana"/>
          <w:i/>
          <w:iCs/>
          <w:sz w:val="24"/>
          <w:szCs w:val="24"/>
        </w:rPr>
        <w:t xml:space="preserve"> 3 september 2026)</w:t>
      </w:r>
    </w:p>
    <w:p w:rsidR="003748C0" w:rsidP="003748C0" w:rsidRDefault="003748C0" w14:paraId="41E694DB" w14:textId="77777777">
      <w:pPr>
        <w:pStyle w:val="Geenafstand"/>
        <w:rPr>
          <w:rFonts w:ascii="Verdana" w:hAnsi="Verdana"/>
          <w:i/>
          <w:iCs/>
          <w:sz w:val="18"/>
          <w:szCs w:val="18"/>
        </w:rPr>
      </w:pPr>
    </w:p>
    <w:p w:rsidRPr="00901120" w:rsidR="003748C0" w:rsidP="003748C0" w:rsidRDefault="003748C0" w14:paraId="10982DA9" w14:textId="77777777">
      <w:pPr>
        <w:pStyle w:val="Geenafstand"/>
        <w:rPr>
          <w:rFonts w:ascii="Verdana" w:hAnsi="Verdana"/>
          <w:i/>
          <w:iCs/>
          <w:sz w:val="18"/>
          <w:szCs w:val="18"/>
        </w:rPr>
      </w:pPr>
      <w:r w:rsidRPr="00901120">
        <w:rPr>
          <w:rFonts w:ascii="Verdana" w:hAnsi="Verdana"/>
          <w:i/>
          <w:iCs/>
          <w:sz w:val="18"/>
          <w:szCs w:val="18"/>
        </w:rPr>
        <w:t>1.Bent u bekend met het bericht van nu.nl over het feit dat veel ouders ondanks een hogere toeslag extra betalen voor kinderopvang? 1)</w:t>
      </w:r>
    </w:p>
    <w:p w:rsidR="003748C0" w:rsidP="003748C0" w:rsidRDefault="003748C0" w14:paraId="391C7766" w14:textId="77777777">
      <w:pPr>
        <w:pStyle w:val="Geenafstand"/>
        <w:rPr>
          <w:rFonts w:ascii="Verdana" w:hAnsi="Verdana"/>
          <w:sz w:val="18"/>
          <w:szCs w:val="18"/>
        </w:rPr>
      </w:pPr>
    </w:p>
    <w:p w:rsidRPr="00E9317E" w:rsidR="003748C0" w:rsidP="003748C0" w:rsidRDefault="003748C0" w14:paraId="141D5714" w14:textId="77777777">
      <w:pPr>
        <w:pStyle w:val="Geenafstand"/>
        <w:rPr>
          <w:rFonts w:ascii="Verdana" w:hAnsi="Verdana"/>
          <w:sz w:val="18"/>
          <w:szCs w:val="18"/>
        </w:rPr>
      </w:pPr>
      <w:r>
        <w:rPr>
          <w:rFonts w:ascii="Verdana" w:hAnsi="Verdana"/>
          <w:sz w:val="18"/>
          <w:szCs w:val="18"/>
        </w:rPr>
        <w:t>Ja.</w:t>
      </w:r>
      <w:r>
        <w:rPr>
          <w:rFonts w:ascii="Verdana" w:hAnsi="Verdana"/>
          <w:sz w:val="18"/>
          <w:szCs w:val="18"/>
        </w:rPr>
        <w:br/>
      </w:r>
    </w:p>
    <w:p w:rsidR="003748C0" w:rsidP="003748C0" w:rsidRDefault="003748C0" w14:paraId="44A257A2" w14:textId="77777777">
      <w:pPr>
        <w:pStyle w:val="Geenafstand"/>
        <w:rPr>
          <w:rFonts w:ascii="Verdana" w:hAnsi="Verdana"/>
          <w:sz w:val="18"/>
          <w:szCs w:val="18"/>
        </w:rPr>
      </w:pPr>
      <w:r w:rsidRPr="00901120">
        <w:rPr>
          <w:rFonts w:ascii="Verdana" w:hAnsi="Verdana"/>
          <w:i/>
          <w:iCs/>
          <w:sz w:val="18"/>
          <w:szCs w:val="18"/>
        </w:rPr>
        <w:t>2.Kunt u een overzicht geven van de totale overheidsuitgaven aan kinderopvangtoeslag vanaf 2015? Hoe verklaart u deze ontwikkeling?</w:t>
      </w:r>
      <w:r w:rsidRPr="00901120">
        <w:rPr>
          <w:rFonts w:ascii="Verdana" w:hAnsi="Verdana"/>
          <w:i/>
          <w:iCs/>
          <w:sz w:val="18"/>
          <w:szCs w:val="18"/>
        </w:rPr>
        <w:br/>
      </w:r>
    </w:p>
    <w:tbl>
      <w:tblPr>
        <w:tblW w:w="8800" w:type="dxa"/>
        <w:tblCellMar>
          <w:left w:w="70" w:type="dxa"/>
          <w:right w:w="70" w:type="dxa"/>
        </w:tblCellMar>
        <w:tblLook w:val="04A0" w:firstRow="1" w:lastRow="0" w:firstColumn="1" w:lastColumn="0" w:noHBand="0" w:noVBand="1"/>
      </w:tblPr>
      <w:tblGrid>
        <w:gridCol w:w="800"/>
        <w:gridCol w:w="800"/>
        <w:gridCol w:w="800"/>
        <w:gridCol w:w="800"/>
        <w:gridCol w:w="800"/>
        <w:gridCol w:w="800"/>
        <w:gridCol w:w="800"/>
        <w:gridCol w:w="800"/>
        <w:gridCol w:w="800"/>
        <w:gridCol w:w="800"/>
        <w:gridCol w:w="800"/>
      </w:tblGrid>
      <w:tr w:rsidRPr="005C598B" w:rsidR="003748C0" w:rsidTr="00F16B94" w14:paraId="1FB976A0" w14:textId="77777777">
        <w:trPr>
          <w:trHeight w:val="315"/>
        </w:trPr>
        <w:tc>
          <w:tcPr>
            <w:tcW w:w="8800" w:type="dxa"/>
            <w:gridSpan w:val="11"/>
            <w:tcBorders>
              <w:top w:val="single" w:color="auto" w:sz="8" w:space="0"/>
              <w:left w:val="single" w:color="auto" w:sz="8" w:space="0"/>
              <w:bottom w:val="single" w:color="auto" w:sz="8" w:space="0"/>
              <w:right w:val="single" w:color="000000" w:sz="8" w:space="0"/>
            </w:tcBorders>
            <w:shd w:val="clear" w:color="000000" w:fill="000000"/>
            <w:noWrap/>
            <w:vAlign w:val="bottom"/>
            <w:hideMark/>
          </w:tcPr>
          <w:p w:rsidRPr="005C598B" w:rsidR="003748C0" w:rsidP="00F16B94" w:rsidRDefault="003748C0" w14:paraId="2308B2A0" w14:textId="77777777">
            <w:pPr>
              <w:spacing w:after="0" w:line="240" w:lineRule="auto"/>
              <w:jc w:val="center"/>
              <w:rPr>
                <w:rFonts w:ascii="Aptos Narrow" w:hAnsi="Aptos Narrow" w:eastAsia="Times New Roman" w:cs="Times New Roman"/>
                <w:b/>
                <w:bCs/>
                <w:color w:val="FFFFFF"/>
                <w:kern w:val="0"/>
                <w:lang w:eastAsia="nl-NL"/>
                <w14:ligatures w14:val="none"/>
              </w:rPr>
            </w:pPr>
            <w:r>
              <w:rPr>
                <w:rFonts w:ascii="Aptos Narrow" w:hAnsi="Aptos Narrow" w:eastAsia="Times New Roman" w:cs="Times New Roman"/>
                <w:b/>
                <w:bCs/>
                <w:color w:val="FFFFFF"/>
                <w:kern w:val="0"/>
                <w:lang w:eastAsia="nl-NL"/>
                <w14:ligatures w14:val="none"/>
              </w:rPr>
              <w:t xml:space="preserve">Tabel 1: </w:t>
            </w:r>
            <w:r w:rsidRPr="005C598B">
              <w:rPr>
                <w:rFonts w:ascii="Aptos Narrow" w:hAnsi="Aptos Narrow" w:eastAsia="Times New Roman" w:cs="Times New Roman"/>
                <w:b/>
                <w:bCs/>
                <w:color w:val="FFFFFF"/>
                <w:kern w:val="0"/>
                <w:lang w:eastAsia="nl-NL"/>
                <w14:ligatures w14:val="none"/>
              </w:rPr>
              <w:t>Kinderopvangtoeslag per jaar (m</w:t>
            </w:r>
            <w:r>
              <w:rPr>
                <w:rFonts w:ascii="Aptos Narrow" w:hAnsi="Aptos Narrow" w:eastAsia="Times New Roman" w:cs="Times New Roman"/>
                <w:b/>
                <w:bCs/>
                <w:color w:val="FFFFFF"/>
                <w:kern w:val="0"/>
                <w:lang w:eastAsia="nl-NL"/>
                <w14:ligatures w14:val="none"/>
              </w:rPr>
              <w:t>i</w:t>
            </w:r>
            <w:r w:rsidRPr="005C598B">
              <w:rPr>
                <w:rFonts w:ascii="Aptos Narrow" w:hAnsi="Aptos Narrow" w:eastAsia="Times New Roman" w:cs="Times New Roman"/>
                <w:b/>
                <w:bCs/>
                <w:color w:val="FFFFFF"/>
                <w:kern w:val="0"/>
                <w:lang w:eastAsia="nl-NL"/>
                <w14:ligatures w14:val="none"/>
              </w:rPr>
              <w:t>l</w:t>
            </w:r>
            <w:r>
              <w:rPr>
                <w:rFonts w:ascii="Aptos Narrow" w:hAnsi="Aptos Narrow" w:eastAsia="Times New Roman" w:cs="Times New Roman"/>
                <w:b/>
                <w:bCs/>
                <w:color w:val="FFFFFF"/>
                <w:kern w:val="0"/>
                <w:lang w:eastAsia="nl-NL"/>
                <w14:ligatures w14:val="none"/>
              </w:rPr>
              <w:t>joen euro’s</w:t>
            </w:r>
            <w:r w:rsidRPr="005C598B">
              <w:rPr>
                <w:rFonts w:ascii="Aptos Narrow" w:hAnsi="Aptos Narrow" w:eastAsia="Times New Roman" w:cs="Times New Roman"/>
                <w:b/>
                <w:bCs/>
                <w:color w:val="FFFFFF"/>
                <w:kern w:val="0"/>
                <w:lang w:eastAsia="nl-NL"/>
                <w14:ligatures w14:val="none"/>
              </w:rPr>
              <w:t>)</w:t>
            </w:r>
          </w:p>
        </w:tc>
      </w:tr>
      <w:tr w:rsidRPr="005C598B" w:rsidR="003748C0" w:rsidTr="00F16B94" w14:paraId="77B3DE92" w14:textId="77777777">
        <w:trPr>
          <w:trHeight w:val="315"/>
        </w:trPr>
        <w:tc>
          <w:tcPr>
            <w:tcW w:w="800" w:type="dxa"/>
            <w:tcBorders>
              <w:top w:val="nil"/>
              <w:left w:val="single" w:color="auto" w:sz="8" w:space="0"/>
              <w:bottom w:val="single" w:color="auto" w:sz="8" w:space="0"/>
              <w:right w:val="single" w:color="auto" w:sz="8" w:space="0"/>
            </w:tcBorders>
            <w:shd w:val="clear" w:color="000000" w:fill="B4C6E7"/>
            <w:vAlign w:val="center"/>
            <w:hideMark/>
          </w:tcPr>
          <w:p w:rsidRPr="005C598B" w:rsidR="003748C0" w:rsidP="00F16B94" w:rsidRDefault="003748C0" w14:paraId="29088B14"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2015</w:t>
            </w:r>
          </w:p>
        </w:tc>
        <w:tc>
          <w:tcPr>
            <w:tcW w:w="800" w:type="dxa"/>
            <w:tcBorders>
              <w:top w:val="nil"/>
              <w:left w:val="nil"/>
              <w:bottom w:val="single" w:color="auto" w:sz="8" w:space="0"/>
              <w:right w:val="single" w:color="auto" w:sz="8" w:space="0"/>
            </w:tcBorders>
            <w:shd w:val="clear" w:color="000000" w:fill="B4C6E7"/>
            <w:vAlign w:val="center"/>
            <w:hideMark/>
          </w:tcPr>
          <w:p w:rsidRPr="005C598B" w:rsidR="003748C0" w:rsidP="00F16B94" w:rsidRDefault="003748C0" w14:paraId="47CC4586"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2016</w:t>
            </w:r>
          </w:p>
        </w:tc>
        <w:tc>
          <w:tcPr>
            <w:tcW w:w="800" w:type="dxa"/>
            <w:tcBorders>
              <w:top w:val="nil"/>
              <w:left w:val="nil"/>
              <w:bottom w:val="single" w:color="auto" w:sz="8" w:space="0"/>
              <w:right w:val="single" w:color="auto" w:sz="8" w:space="0"/>
            </w:tcBorders>
            <w:shd w:val="clear" w:color="000000" w:fill="B4C6E7"/>
            <w:vAlign w:val="center"/>
            <w:hideMark/>
          </w:tcPr>
          <w:p w:rsidRPr="005C598B" w:rsidR="003748C0" w:rsidP="00F16B94" w:rsidRDefault="003748C0" w14:paraId="0293F58F"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2017</w:t>
            </w:r>
          </w:p>
        </w:tc>
        <w:tc>
          <w:tcPr>
            <w:tcW w:w="800" w:type="dxa"/>
            <w:tcBorders>
              <w:top w:val="nil"/>
              <w:left w:val="nil"/>
              <w:bottom w:val="single" w:color="auto" w:sz="8" w:space="0"/>
              <w:right w:val="single" w:color="auto" w:sz="8" w:space="0"/>
            </w:tcBorders>
            <w:shd w:val="clear" w:color="000000" w:fill="B4C6E7"/>
            <w:vAlign w:val="center"/>
            <w:hideMark/>
          </w:tcPr>
          <w:p w:rsidRPr="005C598B" w:rsidR="003748C0" w:rsidP="00F16B94" w:rsidRDefault="003748C0" w14:paraId="01401431"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2018</w:t>
            </w:r>
          </w:p>
        </w:tc>
        <w:tc>
          <w:tcPr>
            <w:tcW w:w="800" w:type="dxa"/>
            <w:tcBorders>
              <w:top w:val="nil"/>
              <w:left w:val="nil"/>
              <w:bottom w:val="single" w:color="auto" w:sz="8" w:space="0"/>
              <w:right w:val="single" w:color="auto" w:sz="8" w:space="0"/>
            </w:tcBorders>
            <w:shd w:val="clear" w:color="000000" w:fill="B4C6E7"/>
            <w:vAlign w:val="center"/>
            <w:hideMark/>
          </w:tcPr>
          <w:p w:rsidRPr="005C598B" w:rsidR="003748C0" w:rsidP="00F16B94" w:rsidRDefault="003748C0" w14:paraId="125359D9"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2019</w:t>
            </w:r>
          </w:p>
        </w:tc>
        <w:tc>
          <w:tcPr>
            <w:tcW w:w="800" w:type="dxa"/>
            <w:tcBorders>
              <w:top w:val="nil"/>
              <w:left w:val="nil"/>
              <w:bottom w:val="single" w:color="auto" w:sz="8" w:space="0"/>
              <w:right w:val="single" w:color="auto" w:sz="8" w:space="0"/>
            </w:tcBorders>
            <w:shd w:val="clear" w:color="000000" w:fill="B4C6E7"/>
            <w:vAlign w:val="center"/>
            <w:hideMark/>
          </w:tcPr>
          <w:p w:rsidRPr="005C598B" w:rsidR="003748C0" w:rsidP="00F16B94" w:rsidRDefault="003748C0" w14:paraId="22AA8D3B"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2020</w:t>
            </w:r>
          </w:p>
        </w:tc>
        <w:tc>
          <w:tcPr>
            <w:tcW w:w="800" w:type="dxa"/>
            <w:tcBorders>
              <w:top w:val="nil"/>
              <w:left w:val="nil"/>
              <w:bottom w:val="single" w:color="auto" w:sz="8" w:space="0"/>
              <w:right w:val="single" w:color="auto" w:sz="8" w:space="0"/>
            </w:tcBorders>
            <w:shd w:val="clear" w:color="000000" w:fill="B4C6E7"/>
            <w:vAlign w:val="center"/>
            <w:hideMark/>
          </w:tcPr>
          <w:p w:rsidRPr="005C598B" w:rsidR="003748C0" w:rsidP="00F16B94" w:rsidRDefault="003748C0" w14:paraId="03F8C804"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2021</w:t>
            </w:r>
          </w:p>
        </w:tc>
        <w:tc>
          <w:tcPr>
            <w:tcW w:w="800" w:type="dxa"/>
            <w:tcBorders>
              <w:top w:val="nil"/>
              <w:left w:val="nil"/>
              <w:bottom w:val="single" w:color="auto" w:sz="8" w:space="0"/>
              <w:right w:val="single" w:color="auto" w:sz="8" w:space="0"/>
            </w:tcBorders>
            <w:shd w:val="clear" w:color="000000" w:fill="B4C6E7"/>
            <w:vAlign w:val="center"/>
            <w:hideMark/>
          </w:tcPr>
          <w:p w:rsidRPr="005C598B" w:rsidR="003748C0" w:rsidP="00F16B94" w:rsidRDefault="003748C0" w14:paraId="7A1DF440"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2022</w:t>
            </w:r>
          </w:p>
        </w:tc>
        <w:tc>
          <w:tcPr>
            <w:tcW w:w="800" w:type="dxa"/>
            <w:tcBorders>
              <w:top w:val="nil"/>
              <w:left w:val="nil"/>
              <w:bottom w:val="single" w:color="auto" w:sz="8" w:space="0"/>
              <w:right w:val="single" w:color="auto" w:sz="8" w:space="0"/>
            </w:tcBorders>
            <w:shd w:val="clear" w:color="000000" w:fill="B4C6E7"/>
            <w:vAlign w:val="center"/>
            <w:hideMark/>
          </w:tcPr>
          <w:p w:rsidRPr="005C598B" w:rsidR="003748C0" w:rsidP="00F16B94" w:rsidRDefault="003748C0" w14:paraId="6A30414B"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2023</w:t>
            </w:r>
          </w:p>
        </w:tc>
        <w:tc>
          <w:tcPr>
            <w:tcW w:w="800" w:type="dxa"/>
            <w:tcBorders>
              <w:top w:val="nil"/>
              <w:left w:val="nil"/>
              <w:bottom w:val="single" w:color="auto" w:sz="8" w:space="0"/>
              <w:right w:val="single" w:color="auto" w:sz="8" w:space="0"/>
            </w:tcBorders>
            <w:shd w:val="clear" w:color="000000" w:fill="B4C6E7"/>
            <w:vAlign w:val="center"/>
            <w:hideMark/>
          </w:tcPr>
          <w:p w:rsidRPr="005C598B" w:rsidR="003748C0" w:rsidP="00F16B94" w:rsidRDefault="003748C0" w14:paraId="5845D8CC"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2024</w:t>
            </w:r>
          </w:p>
        </w:tc>
        <w:tc>
          <w:tcPr>
            <w:tcW w:w="800" w:type="dxa"/>
            <w:tcBorders>
              <w:top w:val="nil"/>
              <w:left w:val="nil"/>
              <w:bottom w:val="single" w:color="auto" w:sz="8" w:space="0"/>
              <w:right w:val="single" w:color="auto" w:sz="8" w:space="0"/>
            </w:tcBorders>
            <w:shd w:val="clear" w:color="000000" w:fill="B4C6E7"/>
            <w:vAlign w:val="center"/>
            <w:hideMark/>
          </w:tcPr>
          <w:p w:rsidRPr="005C598B" w:rsidR="003748C0" w:rsidP="00F16B94" w:rsidRDefault="003748C0" w14:paraId="0A9B024C" w14:textId="77777777">
            <w:pPr>
              <w:spacing w:after="0" w:line="240" w:lineRule="auto"/>
              <w:jc w:val="right"/>
              <w:rPr>
                <w:rFonts w:ascii="Calibri" w:hAnsi="Calibri" w:eastAsia="Times New Roman" w:cs="Calibri"/>
                <w:b/>
                <w:bCs/>
                <w:color w:val="000000"/>
                <w:kern w:val="0"/>
                <w:lang w:eastAsia="nl-NL"/>
                <w14:ligatures w14:val="none"/>
              </w:rPr>
            </w:pPr>
            <w:r w:rsidRPr="005C598B">
              <w:rPr>
                <w:rFonts w:ascii="Calibri" w:hAnsi="Calibri" w:eastAsia="Times New Roman" w:cs="Calibri"/>
                <w:b/>
                <w:bCs/>
                <w:color w:val="000000"/>
                <w:kern w:val="0"/>
                <w:lang w:eastAsia="nl-NL"/>
                <w14:ligatures w14:val="none"/>
              </w:rPr>
              <w:t>2025</w:t>
            </w:r>
          </w:p>
        </w:tc>
      </w:tr>
      <w:tr w:rsidRPr="005C598B" w:rsidR="003748C0" w:rsidTr="00F16B94" w14:paraId="77315E3F" w14:textId="77777777">
        <w:trPr>
          <w:trHeight w:val="315"/>
        </w:trPr>
        <w:tc>
          <w:tcPr>
            <w:tcW w:w="800" w:type="dxa"/>
            <w:tcBorders>
              <w:top w:val="nil"/>
              <w:left w:val="single" w:color="auto" w:sz="8" w:space="0"/>
              <w:bottom w:val="single" w:color="auto" w:sz="8" w:space="0"/>
              <w:right w:val="single" w:color="auto" w:sz="8" w:space="0"/>
            </w:tcBorders>
            <w:vAlign w:val="center"/>
            <w:hideMark/>
          </w:tcPr>
          <w:p w:rsidRPr="00AD62B6" w:rsidR="003748C0" w:rsidP="00F16B94" w:rsidRDefault="003748C0" w14:paraId="4A6E7363"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1</w:t>
            </w:r>
            <w:r>
              <w:rPr>
                <w:rFonts w:ascii="Calibri" w:hAnsi="Calibri" w:cs="Calibri"/>
                <w:b/>
                <w:bCs/>
                <w:color w:val="000000"/>
              </w:rPr>
              <w:t>.</w:t>
            </w:r>
            <w:r w:rsidRPr="00F16B94">
              <w:rPr>
                <w:rFonts w:ascii="Calibri" w:hAnsi="Calibri" w:cs="Calibri"/>
                <w:b/>
                <w:bCs/>
                <w:color w:val="000000"/>
              </w:rPr>
              <w:t>64</w:t>
            </w:r>
            <w:r>
              <w:rPr>
                <w:rFonts w:ascii="Calibri" w:hAnsi="Calibri" w:cs="Calibri"/>
                <w:b/>
                <w:bCs/>
                <w:color w:val="000000"/>
              </w:rPr>
              <w:t>4</w:t>
            </w:r>
          </w:p>
        </w:tc>
        <w:tc>
          <w:tcPr>
            <w:tcW w:w="800" w:type="dxa"/>
            <w:tcBorders>
              <w:top w:val="nil"/>
              <w:left w:val="nil"/>
              <w:bottom w:val="single" w:color="auto" w:sz="8" w:space="0"/>
              <w:right w:val="single" w:color="auto" w:sz="8" w:space="0"/>
            </w:tcBorders>
            <w:vAlign w:val="center"/>
            <w:hideMark/>
          </w:tcPr>
          <w:p w:rsidRPr="00AD62B6" w:rsidR="003748C0" w:rsidP="00F16B94" w:rsidRDefault="003748C0" w14:paraId="0A4D699F"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2</w:t>
            </w:r>
            <w:r>
              <w:rPr>
                <w:rFonts w:ascii="Calibri" w:hAnsi="Calibri" w:cs="Calibri"/>
                <w:b/>
                <w:bCs/>
                <w:color w:val="000000"/>
              </w:rPr>
              <w:t>.</w:t>
            </w:r>
            <w:r w:rsidRPr="00F16B94">
              <w:rPr>
                <w:rFonts w:ascii="Calibri" w:hAnsi="Calibri" w:cs="Calibri"/>
                <w:b/>
                <w:bCs/>
                <w:color w:val="000000"/>
              </w:rPr>
              <w:t>00</w:t>
            </w:r>
            <w:r>
              <w:rPr>
                <w:rFonts w:ascii="Calibri" w:hAnsi="Calibri" w:cs="Calibri"/>
                <w:b/>
                <w:bCs/>
                <w:color w:val="000000"/>
              </w:rPr>
              <w:t>6</w:t>
            </w:r>
          </w:p>
        </w:tc>
        <w:tc>
          <w:tcPr>
            <w:tcW w:w="800" w:type="dxa"/>
            <w:tcBorders>
              <w:top w:val="nil"/>
              <w:left w:val="nil"/>
              <w:bottom w:val="single" w:color="auto" w:sz="8" w:space="0"/>
              <w:right w:val="single" w:color="auto" w:sz="8" w:space="0"/>
            </w:tcBorders>
            <w:vAlign w:val="center"/>
            <w:hideMark/>
          </w:tcPr>
          <w:p w:rsidRPr="00AD62B6" w:rsidR="003748C0" w:rsidP="00F16B94" w:rsidRDefault="003748C0" w14:paraId="56D9A545"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2</w:t>
            </w:r>
            <w:r>
              <w:rPr>
                <w:rFonts w:ascii="Calibri" w:hAnsi="Calibri" w:cs="Calibri"/>
                <w:b/>
                <w:bCs/>
                <w:color w:val="000000"/>
              </w:rPr>
              <w:t>.</w:t>
            </w:r>
            <w:r w:rsidRPr="00F16B94">
              <w:rPr>
                <w:rFonts w:ascii="Calibri" w:hAnsi="Calibri" w:cs="Calibri"/>
                <w:b/>
                <w:bCs/>
                <w:color w:val="000000"/>
              </w:rPr>
              <w:t>273</w:t>
            </w:r>
          </w:p>
        </w:tc>
        <w:tc>
          <w:tcPr>
            <w:tcW w:w="800" w:type="dxa"/>
            <w:tcBorders>
              <w:top w:val="nil"/>
              <w:left w:val="nil"/>
              <w:bottom w:val="single" w:color="auto" w:sz="8" w:space="0"/>
              <w:right w:val="single" w:color="auto" w:sz="8" w:space="0"/>
            </w:tcBorders>
            <w:vAlign w:val="center"/>
            <w:hideMark/>
          </w:tcPr>
          <w:p w:rsidRPr="00AD62B6" w:rsidR="003748C0" w:rsidP="00F16B94" w:rsidRDefault="003748C0" w14:paraId="76A61DDB"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2</w:t>
            </w:r>
            <w:r>
              <w:rPr>
                <w:rFonts w:ascii="Calibri" w:hAnsi="Calibri" w:cs="Calibri"/>
                <w:b/>
                <w:bCs/>
                <w:color w:val="000000"/>
              </w:rPr>
              <w:t>.</w:t>
            </w:r>
            <w:r w:rsidRPr="00F16B94">
              <w:rPr>
                <w:rFonts w:ascii="Calibri" w:hAnsi="Calibri" w:cs="Calibri"/>
                <w:b/>
                <w:bCs/>
                <w:color w:val="000000"/>
              </w:rPr>
              <w:t>6</w:t>
            </w:r>
            <w:r>
              <w:rPr>
                <w:rFonts w:ascii="Calibri" w:hAnsi="Calibri" w:cs="Calibri"/>
                <w:b/>
                <w:bCs/>
                <w:color w:val="000000"/>
              </w:rPr>
              <w:t>26</w:t>
            </w:r>
          </w:p>
        </w:tc>
        <w:tc>
          <w:tcPr>
            <w:tcW w:w="800" w:type="dxa"/>
            <w:tcBorders>
              <w:top w:val="nil"/>
              <w:left w:val="nil"/>
              <w:bottom w:val="single" w:color="auto" w:sz="8" w:space="0"/>
              <w:right w:val="single" w:color="auto" w:sz="8" w:space="0"/>
            </w:tcBorders>
            <w:vAlign w:val="center"/>
            <w:hideMark/>
          </w:tcPr>
          <w:p w:rsidRPr="00AD62B6" w:rsidR="003748C0" w:rsidP="00F16B94" w:rsidRDefault="003748C0" w14:paraId="5DD459EF"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3</w:t>
            </w:r>
            <w:r>
              <w:rPr>
                <w:rFonts w:ascii="Calibri" w:hAnsi="Calibri" w:cs="Calibri"/>
                <w:b/>
                <w:bCs/>
                <w:color w:val="000000"/>
              </w:rPr>
              <w:t>.</w:t>
            </w:r>
            <w:r w:rsidRPr="00F16B94">
              <w:rPr>
                <w:rFonts w:ascii="Calibri" w:hAnsi="Calibri" w:cs="Calibri"/>
                <w:b/>
                <w:bCs/>
                <w:color w:val="000000"/>
              </w:rPr>
              <w:t>08</w:t>
            </w:r>
            <w:r>
              <w:rPr>
                <w:rFonts w:ascii="Calibri" w:hAnsi="Calibri" w:cs="Calibri"/>
                <w:b/>
                <w:bCs/>
                <w:color w:val="000000"/>
              </w:rPr>
              <w:t>8</w:t>
            </w:r>
          </w:p>
        </w:tc>
        <w:tc>
          <w:tcPr>
            <w:tcW w:w="800" w:type="dxa"/>
            <w:tcBorders>
              <w:top w:val="nil"/>
              <w:left w:val="nil"/>
              <w:bottom w:val="single" w:color="auto" w:sz="8" w:space="0"/>
              <w:right w:val="single" w:color="auto" w:sz="8" w:space="0"/>
            </w:tcBorders>
            <w:vAlign w:val="center"/>
            <w:hideMark/>
          </w:tcPr>
          <w:p w:rsidRPr="00AD62B6" w:rsidR="003748C0" w:rsidP="00F16B94" w:rsidRDefault="003748C0" w14:paraId="368B1DEF"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3</w:t>
            </w:r>
            <w:r>
              <w:rPr>
                <w:rFonts w:ascii="Calibri" w:hAnsi="Calibri" w:cs="Calibri"/>
                <w:b/>
                <w:bCs/>
                <w:color w:val="000000"/>
              </w:rPr>
              <w:t>.</w:t>
            </w:r>
            <w:r w:rsidRPr="00F16B94">
              <w:rPr>
                <w:rFonts w:ascii="Calibri" w:hAnsi="Calibri" w:cs="Calibri"/>
                <w:b/>
                <w:bCs/>
                <w:color w:val="000000"/>
              </w:rPr>
              <w:t>351</w:t>
            </w:r>
          </w:p>
        </w:tc>
        <w:tc>
          <w:tcPr>
            <w:tcW w:w="800" w:type="dxa"/>
            <w:tcBorders>
              <w:top w:val="nil"/>
              <w:left w:val="nil"/>
              <w:bottom w:val="single" w:color="auto" w:sz="8" w:space="0"/>
              <w:right w:val="single" w:color="auto" w:sz="8" w:space="0"/>
            </w:tcBorders>
            <w:noWrap/>
            <w:vAlign w:val="center"/>
            <w:hideMark/>
          </w:tcPr>
          <w:p w:rsidRPr="00AD62B6" w:rsidR="003748C0" w:rsidP="00F16B94" w:rsidRDefault="003748C0" w14:paraId="12083A2F"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3</w:t>
            </w:r>
            <w:r>
              <w:rPr>
                <w:rFonts w:ascii="Calibri" w:hAnsi="Calibri" w:cs="Calibri"/>
                <w:b/>
                <w:bCs/>
                <w:color w:val="000000"/>
              </w:rPr>
              <w:t>.</w:t>
            </w:r>
            <w:r w:rsidRPr="00F16B94">
              <w:rPr>
                <w:rFonts w:ascii="Calibri" w:hAnsi="Calibri" w:cs="Calibri"/>
                <w:b/>
                <w:bCs/>
                <w:color w:val="000000"/>
              </w:rPr>
              <w:t>636</w:t>
            </w:r>
          </w:p>
        </w:tc>
        <w:tc>
          <w:tcPr>
            <w:tcW w:w="800" w:type="dxa"/>
            <w:tcBorders>
              <w:top w:val="nil"/>
              <w:left w:val="nil"/>
              <w:bottom w:val="single" w:color="auto" w:sz="8" w:space="0"/>
              <w:right w:val="single" w:color="auto" w:sz="8" w:space="0"/>
            </w:tcBorders>
            <w:vAlign w:val="center"/>
            <w:hideMark/>
          </w:tcPr>
          <w:p w:rsidRPr="00AD62B6" w:rsidR="003748C0" w:rsidP="00F16B94" w:rsidRDefault="003748C0" w14:paraId="60ACE72D"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3</w:t>
            </w:r>
            <w:r>
              <w:rPr>
                <w:rFonts w:ascii="Calibri" w:hAnsi="Calibri" w:cs="Calibri"/>
                <w:b/>
                <w:bCs/>
                <w:color w:val="000000"/>
              </w:rPr>
              <w:t>.</w:t>
            </w:r>
            <w:r w:rsidRPr="00F16B94">
              <w:rPr>
                <w:rFonts w:ascii="Calibri" w:hAnsi="Calibri" w:cs="Calibri"/>
                <w:b/>
                <w:bCs/>
                <w:color w:val="000000"/>
              </w:rPr>
              <w:t>916</w:t>
            </w:r>
          </w:p>
        </w:tc>
        <w:tc>
          <w:tcPr>
            <w:tcW w:w="800" w:type="dxa"/>
            <w:tcBorders>
              <w:top w:val="nil"/>
              <w:left w:val="nil"/>
              <w:bottom w:val="single" w:color="auto" w:sz="8" w:space="0"/>
              <w:right w:val="single" w:color="auto" w:sz="8" w:space="0"/>
            </w:tcBorders>
            <w:vAlign w:val="center"/>
            <w:hideMark/>
          </w:tcPr>
          <w:p w:rsidRPr="00AD62B6" w:rsidR="003748C0" w:rsidP="00F16B94" w:rsidRDefault="003748C0" w14:paraId="642D9BD6"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4</w:t>
            </w:r>
            <w:r>
              <w:rPr>
                <w:rFonts w:ascii="Calibri" w:hAnsi="Calibri" w:cs="Calibri"/>
                <w:b/>
                <w:bCs/>
                <w:color w:val="000000"/>
              </w:rPr>
              <w:t>.</w:t>
            </w:r>
            <w:r w:rsidRPr="00F16B94">
              <w:rPr>
                <w:rFonts w:ascii="Calibri" w:hAnsi="Calibri" w:cs="Calibri"/>
                <w:b/>
                <w:bCs/>
                <w:color w:val="000000"/>
              </w:rPr>
              <w:t>180</w:t>
            </w:r>
          </w:p>
        </w:tc>
        <w:tc>
          <w:tcPr>
            <w:tcW w:w="800" w:type="dxa"/>
            <w:tcBorders>
              <w:top w:val="nil"/>
              <w:left w:val="nil"/>
              <w:bottom w:val="single" w:color="auto" w:sz="8" w:space="0"/>
              <w:right w:val="single" w:color="auto" w:sz="8" w:space="0"/>
            </w:tcBorders>
            <w:vAlign w:val="center"/>
            <w:hideMark/>
          </w:tcPr>
          <w:p w:rsidRPr="00AD62B6" w:rsidR="003748C0" w:rsidP="00F16B94" w:rsidRDefault="003748C0" w14:paraId="44C04F90"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4</w:t>
            </w:r>
            <w:r>
              <w:rPr>
                <w:rFonts w:ascii="Calibri" w:hAnsi="Calibri" w:cs="Calibri"/>
                <w:b/>
                <w:bCs/>
                <w:color w:val="000000"/>
              </w:rPr>
              <w:t>.</w:t>
            </w:r>
            <w:r w:rsidRPr="00F16B94">
              <w:rPr>
                <w:rFonts w:ascii="Calibri" w:hAnsi="Calibri" w:cs="Calibri"/>
                <w:b/>
                <w:bCs/>
                <w:color w:val="000000"/>
              </w:rPr>
              <w:t>716</w:t>
            </w:r>
          </w:p>
        </w:tc>
        <w:tc>
          <w:tcPr>
            <w:tcW w:w="800" w:type="dxa"/>
            <w:tcBorders>
              <w:top w:val="nil"/>
              <w:left w:val="nil"/>
              <w:bottom w:val="single" w:color="auto" w:sz="8" w:space="0"/>
              <w:right w:val="single" w:color="auto" w:sz="8" w:space="0"/>
            </w:tcBorders>
            <w:vAlign w:val="center"/>
            <w:hideMark/>
          </w:tcPr>
          <w:p w:rsidRPr="00AD62B6" w:rsidR="003748C0" w:rsidP="00F16B94" w:rsidRDefault="003748C0" w14:paraId="20B91397" w14:textId="77777777">
            <w:pPr>
              <w:spacing w:after="0" w:line="240" w:lineRule="auto"/>
              <w:jc w:val="right"/>
              <w:rPr>
                <w:rFonts w:ascii="Calibri" w:hAnsi="Calibri" w:eastAsia="Times New Roman" w:cs="Calibri"/>
                <w:color w:val="000000"/>
                <w:kern w:val="0"/>
                <w:lang w:eastAsia="nl-NL"/>
                <w14:ligatures w14:val="none"/>
              </w:rPr>
            </w:pPr>
            <w:r w:rsidRPr="00F16B94">
              <w:rPr>
                <w:rFonts w:ascii="Calibri" w:hAnsi="Calibri" w:cs="Calibri"/>
                <w:b/>
                <w:bCs/>
                <w:color w:val="000000"/>
              </w:rPr>
              <w:t>5</w:t>
            </w:r>
            <w:r>
              <w:rPr>
                <w:rFonts w:ascii="Calibri" w:hAnsi="Calibri" w:cs="Calibri"/>
                <w:b/>
                <w:bCs/>
                <w:color w:val="000000"/>
              </w:rPr>
              <w:t>.</w:t>
            </w:r>
            <w:r w:rsidRPr="00F16B94">
              <w:rPr>
                <w:rFonts w:ascii="Calibri" w:hAnsi="Calibri" w:cs="Calibri"/>
                <w:b/>
                <w:bCs/>
                <w:color w:val="000000"/>
              </w:rPr>
              <w:t>425</w:t>
            </w:r>
          </w:p>
        </w:tc>
      </w:tr>
    </w:tbl>
    <w:p w:rsidRPr="0021521E" w:rsidR="003748C0" w:rsidP="003748C0" w:rsidRDefault="003748C0" w14:paraId="3BF98149" w14:textId="77777777">
      <w:pPr>
        <w:pStyle w:val="Geenafstand"/>
        <w:rPr>
          <w:rFonts w:ascii="Verdana" w:hAnsi="Verdana"/>
          <w:sz w:val="18"/>
          <w:szCs w:val="18"/>
        </w:rPr>
      </w:pPr>
      <w:r w:rsidRPr="0021521E">
        <w:rPr>
          <w:rFonts w:ascii="Verdana" w:hAnsi="Verdana"/>
          <w:sz w:val="18"/>
          <w:szCs w:val="18"/>
        </w:rPr>
        <w:t>Bron:</w:t>
      </w:r>
      <w:r>
        <w:rPr>
          <w:rFonts w:ascii="Verdana" w:hAnsi="Verdana"/>
          <w:sz w:val="18"/>
          <w:szCs w:val="18"/>
        </w:rPr>
        <w:t xml:space="preserve"> </w:t>
      </w:r>
      <w:r w:rsidRPr="0021521E">
        <w:rPr>
          <w:rFonts w:ascii="Verdana" w:hAnsi="Verdana"/>
          <w:sz w:val="18"/>
          <w:szCs w:val="18"/>
        </w:rPr>
        <w:t>SZW Jaarverslagen.</w:t>
      </w:r>
    </w:p>
    <w:p w:rsidRPr="0021521E" w:rsidR="003748C0" w:rsidP="003748C0" w:rsidRDefault="003748C0" w14:paraId="6DE1A4A9" w14:textId="77777777">
      <w:pPr>
        <w:pStyle w:val="Geenafstand"/>
        <w:rPr>
          <w:rFonts w:ascii="Verdana" w:hAnsi="Verdana"/>
          <w:sz w:val="18"/>
          <w:szCs w:val="18"/>
        </w:rPr>
      </w:pPr>
    </w:p>
    <w:p w:rsidRPr="005C598B" w:rsidR="003748C0" w:rsidP="003748C0" w:rsidRDefault="003748C0" w14:paraId="0476CAC1" w14:textId="77777777">
      <w:pPr>
        <w:pStyle w:val="Geenafstand"/>
        <w:rPr>
          <w:rFonts w:ascii="Verdana" w:hAnsi="Verdana"/>
          <w:sz w:val="18"/>
          <w:szCs w:val="18"/>
        </w:rPr>
      </w:pPr>
      <w:r w:rsidRPr="005C598B">
        <w:rPr>
          <w:rFonts w:ascii="Verdana" w:hAnsi="Verdana"/>
          <w:sz w:val="18"/>
          <w:szCs w:val="18"/>
        </w:rPr>
        <w:t>Tabel 1 geeft een overzicht v</w:t>
      </w:r>
      <w:r>
        <w:rPr>
          <w:rFonts w:ascii="Verdana" w:hAnsi="Verdana"/>
          <w:sz w:val="18"/>
          <w:szCs w:val="18"/>
        </w:rPr>
        <w:t xml:space="preserve">an de ontwikkeling van de uitgaven aan kinderopvangtoeslag (gesaldeerd met de ontvangsten) vanaf 2015. </w:t>
      </w:r>
      <w:bookmarkStart w:name="_Hlk238548888" w:id="0"/>
      <w:r>
        <w:rPr>
          <w:rFonts w:ascii="Verdana" w:hAnsi="Verdana"/>
          <w:sz w:val="18"/>
          <w:szCs w:val="18"/>
        </w:rPr>
        <w:t>Nadat de uitgaven aan de kinderopvangtoeslag in de periode voor 2015 enkele jaren afnamen door ombuigingen op de kinderopvangtoelsag en een dalend aantal kinderen dat gebruik maakte van kinderopvang, zijn de uitgaven aan kinderopvangtoeslag vanaf 2015 over de gehele periode toegenomen</w:t>
      </w:r>
      <w:bookmarkEnd w:id="0"/>
      <w:r>
        <w:rPr>
          <w:rFonts w:ascii="Verdana" w:hAnsi="Verdana"/>
          <w:sz w:val="18"/>
          <w:szCs w:val="18"/>
        </w:rPr>
        <w:t>. T</w:t>
      </w:r>
      <w:r w:rsidRPr="00C81F93">
        <w:rPr>
          <w:rFonts w:ascii="Verdana" w:hAnsi="Verdana"/>
          <w:sz w:val="18"/>
          <w:szCs w:val="18"/>
        </w:rPr>
        <w:t>ussen 201</w:t>
      </w:r>
      <w:r>
        <w:rPr>
          <w:rFonts w:ascii="Verdana" w:hAnsi="Verdana"/>
          <w:sz w:val="18"/>
          <w:szCs w:val="18"/>
        </w:rPr>
        <w:t>5</w:t>
      </w:r>
      <w:r w:rsidRPr="00C81F93">
        <w:rPr>
          <w:rFonts w:ascii="Verdana" w:hAnsi="Verdana"/>
          <w:sz w:val="18"/>
          <w:szCs w:val="18"/>
        </w:rPr>
        <w:t xml:space="preserve"> en 202</w:t>
      </w:r>
      <w:r>
        <w:rPr>
          <w:rFonts w:ascii="Verdana" w:hAnsi="Verdana"/>
          <w:sz w:val="18"/>
          <w:szCs w:val="18"/>
        </w:rPr>
        <w:t>5</w:t>
      </w:r>
      <w:r w:rsidRPr="00C81F93">
        <w:rPr>
          <w:rFonts w:ascii="Verdana" w:hAnsi="Verdana"/>
          <w:sz w:val="18"/>
          <w:szCs w:val="18"/>
        </w:rPr>
        <w:t xml:space="preserve"> </w:t>
      </w:r>
      <w:r>
        <w:rPr>
          <w:rFonts w:ascii="Verdana" w:hAnsi="Verdana"/>
          <w:sz w:val="18"/>
          <w:szCs w:val="18"/>
        </w:rPr>
        <w:t>gaat het om een toename van</w:t>
      </w:r>
      <w:r w:rsidRPr="00C81F93">
        <w:rPr>
          <w:rFonts w:ascii="Verdana" w:hAnsi="Verdana"/>
          <w:sz w:val="18"/>
          <w:szCs w:val="18"/>
        </w:rPr>
        <w:t xml:space="preserve"> € </w:t>
      </w:r>
      <w:r>
        <w:rPr>
          <w:rFonts w:ascii="Verdana" w:hAnsi="Verdana"/>
          <w:sz w:val="18"/>
          <w:szCs w:val="18"/>
        </w:rPr>
        <w:t>3.741</w:t>
      </w:r>
      <w:r w:rsidRPr="00C81F93">
        <w:rPr>
          <w:rFonts w:ascii="Verdana" w:hAnsi="Verdana"/>
          <w:sz w:val="18"/>
          <w:szCs w:val="18"/>
        </w:rPr>
        <w:t xml:space="preserve"> miljoen.</w:t>
      </w:r>
      <w:r>
        <w:rPr>
          <w:rFonts w:ascii="Verdana" w:hAnsi="Verdana"/>
          <w:sz w:val="18"/>
          <w:szCs w:val="18"/>
        </w:rPr>
        <w:t xml:space="preserve"> Gecorrigeerd voor prijsstijgingen bedraagt het verschil circa € 3,1 miljard (in prijzen 2025). Hiervoor zijn verschillende verklaringen. Enerzijds gaan meer kinderen met kinderopvangtoeslag naar de kinderopvang. Zo gingen in 2025 gemiddeld 922.000 kinderen met kinderopvangtoeslag naar de opvang, tegenover gemiddeld 639.000 kinderen in 2015. Ook gingen kinderen gemiddeld meer uren per week naar de opvang in 2025 (65,9 uur) dan in 2015 (58,1 uur). Anderzijds zijn de vergoedingspercentages in de kinderopvangtoeslag meermaals verhoogd en is ook de maximum uurprijs voor de kinderopvangtoeslag enkele keren aangepast.</w:t>
      </w:r>
    </w:p>
    <w:p w:rsidRPr="005C598B" w:rsidR="003748C0" w:rsidP="003748C0" w:rsidRDefault="003748C0" w14:paraId="5C4CFC31" w14:textId="77777777">
      <w:pPr>
        <w:pStyle w:val="Geenafstand"/>
        <w:rPr>
          <w:rFonts w:ascii="Verdana" w:hAnsi="Verdana"/>
          <w:sz w:val="18"/>
          <w:szCs w:val="18"/>
        </w:rPr>
      </w:pPr>
    </w:p>
    <w:p w:rsidR="003748C0" w:rsidP="003748C0" w:rsidRDefault="003748C0" w14:paraId="1073D8D8" w14:textId="77777777">
      <w:pPr>
        <w:pStyle w:val="Geenafstand"/>
        <w:rPr>
          <w:rFonts w:ascii="Verdana" w:hAnsi="Verdana"/>
          <w:sz w:val="18"/>
          <w:szCs w:val="18"/>
        </w:rPr>
      </w:pPr>
      <w:r w:rsidRPr="00901120">
        <w:rPr>
          <w:rFonts w:ascii="Verdana" w:hAnsi="Verdana"/>
          <w:i/>
          <w:iCs/>
          <w:sz w:val="18"/>
          <w:szCs w:val="18"/>
        </w:rPr>
        <w:t>3.Klopt het dat de kinderopvangtoeslag wordt gefinancierd uit belastingen en premies? Zo ja, om welke belastingen en premies gaat het precies (loon- en inkomstenbelasting, btw of andere belastingen)? Wilt u graag een toelichting geven op uw antwoord?</w:t>
      </w:r>
      <w:r w:rsidRPr="00901120">
        <w:rPr>
          <w:rFonts w:ascii="Verdana" w:hAnsi="Verdana"/>
          <w:i/>
          <w:iCs/>
          <w:sz w:val="18"/>
          <w:szCs w:val="18"/>
        </w:rPr>
        <w:br/>
      </w:r>
    </w:p>
    <w:p w:rsidR="003748C0" w:rsidP="003748C0" w:rsidRDefault="003748C0" w14:paraId="47527F4E" w14:textId="77777777">
      <w:pPr>
        <w:pStyle w:val="Geenafstand"/>
        <w:rPr>
          <w:rFonts w:ascii="Verdana" w:hAnsi="Verdana"/>
          <w:sz w:val="18"/>
          <w:szCs w:val="18"/>
        </w:rPr>
      </w:pPr>
      <w:r>
        <w:rPr>
          <w:rFonts w:ascii="Verdana" w:hAnsi="Verdana"/>
          <w:sz w:val="18"/>
          <w:szCs w:val="18"/>
        </w:rPr>
        <w:t>Het klopt dat de kinderopvangtoeslag wordt gefinancierd uit belastingen en premies. Voor wat betreft de belastingen gaat het om de algemene middelen van het Rijk. Er zijn geen specifieke belastingen waarvan (een gedeelte van) de opbrengst wordt geoormerkt voor de kinderopvangtoeslag. Bij de premies gaat het om de Werkgeversbijdrage kinderopvang. Dit is een opslag op de Aof-premie (</w:t>
      </w:r>
      <w:r w:rsidRPr="006B5FDB">
        <w:rPr>
          <w:rFonts w:ascii="Verdana" w:hAnsi="Verdana"/>
          <w:sz w:val="18"/>
          <w:szCs w:val="18"/>
        </w:rPr>
        <w:t>premie voor het Arbeidsongeschiktheidsfonds</w:t>
      </w:r>
      <w:r>
        <w:rPr>
          <w:rFonts w:ascii="Verdana" w:hAnsi="Verdana"/>
          <w:sz w:val="18"/>
          <w:szCs w:val="18"/>
        </w:rPr>
        <w:t>) ter hoogte van 0,5% van de premieplichtige loonsom.</w:t>
      </w:r>
    </w:p>
    <w:p w:rsidRPr="00901120" w:rsidR="003748C0" w:rsidP="003748C0" w:rsidRDefault="003748C0" w14:paraId="42EAACF3" w14:textId="77777777">
      <w:pPr>
        <w:pStyle w:val="Geenafstand"/>
        <w:rPr>
          <w:rFonts w:ascii="Verdana" w:hAnsi="Verdana"/>
          <w:sz w:val="18"/>
          <w:szCs w:val="18"/>
        </w:rPr>
      </w:pPr>
    </w:p>
    <w:p w:rsidR="003748C0" w:rsidP="003748C0" w:rsidRDefault="003748C0" w14:paraId="3FF9C968" w14:textId="77777777">
      <w:pPr>
        <w:pStyle w:val="Geenafstand"/>
        <w:rPr>
          <w:rFonts w:ascii="Verdana" w:hAnsi="Verdana"/>
          <w:i/>
          <w:iCs/>
          <w:sz w:val="18"/>
          <w:szCs w:val="18"/>
        </w:rPr>
      </w:pPr>
      <w:r w:rsidRPr="00901120">
        <w:rPr>
          <w:rFonts w:ascii="Verdana" w:hAnsi="Verdana"/>
          <w:i/>
          <w:iCs/>
          <w:sz w:val="18"/>
          <w:szCs w:val="18"/>
        </w:rPr>
        <w:t>4.Hoeveel procent van de uitgaven aan kinderopvangtoeslag wordt gefinancierd door werknemers en hoeveel procent door werkgevers? Wilt u graag een overzicht geven van deze lastenverdeling vanaf 2015 en een toelichting op uw antwoord?</w:t>
      </w:r>
      <w:r w:rsidRPr="00901120">
        <w:rPr>
          <w:rFonts w:ascii="Verdana" w:hAnsi="Verdana"/>
          <w:i/>
          <w:iCs/>
          <w:sz w:val="18"/>
          <w:szCs w:val="18"/>
        </w:rPr>
        <w:br/>
      </w:r>
    </w:p>
    <w:p w:rsidR="003748C0" w:rsidP="003748C0" w:rsidRDefault="003748C0" w14:paraId="6CB08088" w14:textId="77777777">
      <w:pPr>
        <w:pStyle w:val="Geenafstand"/>
        <w:rPr>
          <w:rFonts w:ascii="Verdana" w:hAnsi="Verdana"/>
          <w:sz w:val="18"/>
          <w:szCs w:val="18"/>
        </w:rPr>
      </w:pPr>
      <w:r>
        <w:rPr>
          <w:rFonts w:ascii="Verdana" w:hAnsi="Verdana"/>
          <w:sz w:val="18"/>
          <w:szCs w:val="18"/>
        </w:rPr>
        <w:t xml:space="preserve">De kinderopvangtoeslag wordt deels gefinancierd uit werkgeverslaten (via een hogere Aof-premie), en deels uit de algemene middelen. Werknemers dragen niet direct financieel bij aan de kinderopvangtoeslag. </w:t>
      </w:r>
    </w:p>
    <w:p w:rsidR="003748C0" w:rsidP="003748C0" w:rsidRDefault="003748C0" w14:paraId="4A3FD4DF" w14:textId="77777777">
      <w:pPr>
        <w:pStyle w:val="Geenafstand"/>
        <w:rPr>
          <w:rFonts w:ascii="Verdana" w:hAnsi="Verdana"/>
          <w:sz w:val="18"/>
          <w:szCs w:val="18"/>
        </w:rPr>
      </w:pPr>
    </w:p>
    <w:p w:rsidR="003748C0" w:rsidP="003748C0" w:rsidRDefault="003748C0" w14:paraId="0DD64568" w14:textId="77777777">
      <w:pPr>
        <w:pStyle w:val="Geenafstand"/>
        <w:rPr>
          <w:rFonts w:ascii="Verdana" w:hAnsi="Verdana"/>
          <w:sz w:val="18"/>
          <w:szCs w:val="18"/>
        </w:rPr>
      </w:pPr>
      <w:r>
        <w:rPr>
          <w:rFonts w:ascii="Verdana" w:hAnsi="Verdana"/>
          <w:sz w:val="18"/>
          <w:szCs w:val="18"/>
        </w:rPr>
        <w:t>De lastenverdeling tussen overheid (algemene middelen) en werkgevers van de uitgaven aan kinderopvangtoeslag is weergegeven in onderstaande tabel:</w:t>
      </w:r>
    </w:p>
    <w:p w:rsidR="003748C0" w:rsidP="003748C0" w:rsidRDefault="003748C0" w14:paraId="70316AD0" w14:textId="77777777">
      <w:pPr>
        <w:pStyle w:val="Geenafstand"/>
        <w:rPr>
          <w:rFonts w:ascii="Verdana" w:hAnsi="Verdana"/>
          <w:sz w:val="18"/>
          <w:szCs w:val="18"/>
        </w:rPr>
      </w:pPr>
    </w:p>
    <w:tbl>
      <w:tblPr>
        <w:tblW w:w="0" w:type="auto"/>
        <w:tblLayout w:type="fixed"/>
        <w:tblCellMar>
          <w:left w:w="70" w:type="dxa"/>
          <w:right w:w="70" w:type="dxa"/>
        </w:tblCellMar>
        <w:tblLook w:val="04A0" w:firstRow="1" w:lastRow="0" w:firstColumn="1" w:lastColumn="0" w:noHBand="0" w:noVBand="1"/>
      </w:tblPr>
      <w:tblGrid>
        <w:gridCol w:w="1281"/>
        <w:gridCol w:w="746"/>
        <w:gridCol w:w="746"/>
        <w:gridCol w:w="746"/>
        <w:gridCol w:w="746"/>
        <w:gridCol w:w="746"/>
        <w:gridCol w:w="746"/>
        <w:gridCol w:w="746"/>
        <w:gridCol w:w="746"/>
        <w:gridCol w:w="746"/>
        <w:gridCol w:w="746"/>
        <w:gridCol w:w="746"/>
      </w:tblGrid>
      <w:tr w:rsidRPr="00416F70" w:rsidR="003748C0" w:rsidTr="00F16B94" w14:paraId="1F07C19D" w14:textId="77777777">
        <w:trPr>
          <w:trHeight w:val="290"/>
        </w:trPr>
        <w:tc>
          <w:tcPr>
            <w:tcW w:w="1281" w:type="dxa"/>
            <w:tcBorders>
              <w:top w:val="nil"/>
              <w:left w:val="nil"/>
              <w:bottom w:val="single" w:color="auto" w:sz="4" w:space="0"/>
              <w:right w:val="single" w:color="auto" w:sz="4" w:space="0"/>
            </w:tcBorders>
            <w:shd w:val="clear" w:color="auto" w:fill="DEEAF6" w:themeFill="accent5" w:themeFillTint="33"/>
            <w:noWrap/>
            <w:vAlign w:val="center"/>
            <w:hideMark/>
          </w:tcPr>
          <w:p w:rsidRPr="00F16B94" w:rsidR="003748C0" w:rsidP="00F16B94" w:rsidRDefault="003748C0" w14:paraId="32DBAB12" w14:textId="77777777">
            <w:pPr>
              <w:spacing w:after="0" w:line="240" w:lineRule="auto"/>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 </w:t>
            </w:r>
          </w:p>
        </w:tc>
        <w:tc>
          <w:tcPr>
            <w:tcW w:w="746" w:type="dxa"/>
            <w:tcBorders>
              <w:top w:val="nil"/>
              <w:left w:val="single" w:color="auto" w:sz="4" w:space="0"/>
              <w:bottom w:val="single" w:color="auto" w:sz="4" w:space="0"/>
              <w:right w:val="nil"/>
            </w:tcBorders>
            <w:shd w:val="clear" w:color="auto" w:fill="DEEAF6" w:themeFill="accent5" w:themeFillTint="33"/>
            <w:noWrap/>
            <w:vAlign w:val="center"/>
            <w:hideMark/>
          </w:tcPr>
          <w:p w:rsidRPr="00F16B94" w:rsidR="003748C0" w:rsidP="00F16B94" w:rsidRDefault="003748C0" w14:paraId="303E8E9B"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2015</w:t>
            </w:r>
          </w:p>
        </w:tc>
        <w:tc>
          <w:tcPr>
            <w:tcW w:w="746" w:type="dxa"/>
            <w:tcBorders>
              <w:top w:val="nil"/>
              <w:left w:val="nil"/>
              <w:bottom w:val="single" w:color="auto" w:sz="4" w:space="0"/>
              <w:right w:val="nil"/>
            </w:tcBorders>
            <w:shd w:val="clear" w:color="auto" w:fill="DEEAF6" w:themeFill="accent5" w:themeFillTint="33"/>
            <w:noWrap/>
            <w:vAlign w:val="center"/>
            <w:hideMark/>
          </w:tcPr>
          <w:p w:rsidRPr="00F16B94" w:rsidR="003748C0" w:rsidP="00F16B94" w:rsidRDefault="003748C0" w14:paraId="6AF1AB92"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2016</w:t>
            </w:r>
          </w:p>
        </w:tc>
        <w:tc>
          <w:tcPr>
            <w:tcW w:w="746" w:type="dxa"/>
            <w:tcBorders>
              <w:top w:val="nil"/>
              <w:left w:val="nil"/>
              <w:bottom w:val="single" w:color="auto" w:sz="4" w:space="0"/>
              <w:right w:val="nil"/>
            </w:tcBorders>
            <w:shd w:val="clear" w:color="auto" w:fill="DEEAF6" w:themeFill="accent5" w:themeFillTint="33"/>
            <w:noWrap/>
            <w:vAlign w:val="center"/>
            <w:hideMark/>
          </w:tcPr>
          <w:p w:rsidRPr="00F16B94" w:rsidR="003748C0" w:rsidP="00F16B94" w:rsidRDefault="003748C0" w14:paraId="544FE305"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2017</w:t>
            </w:r>
          </w:p>
        </w:tc>
        <w:tc>
          <w:tcPr>
            <w:tcW w:w="746" w:type="dxa"/>
            <w:tcBorders>
              <w:top w:val="nil"/>
              <w:left w:val="nil"/>
              <w:bottom w:val="single" w:color="auto" w:sz="4" w:space="0"/>
              <w:right w:val="nil"/>
            </w:tcBorders>
            <w:shd w:val="clear" w:color="auto" w:fill="DEEAF6" w:themeFill="accent5" w:themeFillTint="33"/>
            <w:noWrap/>
            <w:vAlign w:val="center"/>
            <w:hideMark/>
          </w:tcPr>
          <w:p w:rsidRPr="00F16B94" w:rsidR="003748C0" w:rsidP="00F16B94" w:rsidRDefault="003748C0" w14:paraId="17C50EB6"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2018</w:t>
            </w:r>
          </w:p>
        </w:tc>
        <w:tc>
          <w:tcPr>
            <w:tcW w:w="746" w:type="dxa"/>
            <w:tcBorders>
              <w:top w:val="nil"/>
              <w:left w:val="nil"/>
              <w:bottom w:val="single" w:color="auto" w:sz="4" w:space="0"/>
              <w:right w:val="nil"/>
            </w:tcBorders>
            <w:shd w:val="clear" w:color="auto" w:fill="DEEAF6" w:themeFill="accent5" w:themeFillTint="33"/>
            <w:noWrap/>
            <w:vAlign w:val="center"/>
            <w:hideMark/>
          </w:tcPr>
          <w:p w:rsidRPr="00F16B94" w:rsidR="003748C0" w:rsidP="00F16B94" w:rsidRDefault="003748C0" w14:paraId="7DD21210"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2019</w:t>
            </w:r>
          </w:p>
        </w:tc>
        <w:tc>
          <w:tcPr>
            <w:tcW w:w="746" w:type="dxa"/>
            <w:tcBorders>
              <w:top w:val="nil"/>
              <w:left w:val="nil"/>
              <w:bottom w:val="single" w:color="auto" w:sz="4" w:space="0"/>
              <w:right w:val="nil"/>
            </w:tcBorders>
            <w:shd w:val="clear" w:color="auto" w:fill="DEEAF6" w:themeFill="accent5" w:themeFillTint="33"/>
            <w:noWrap/>
            <w:vAlign w:val="center"/>
            <w:hideMark/>
          </w:tcPr>
          <w:p w:rsidRPr="00F16B94" w:rsidR="003748C0" w:rsidP="00F16B94" w:rsidRDefault="003748C0" w14:paraId="7F0BE79F"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2020</w:t>
            </w:r>
          </w:p>
        </w:tc>
        <w:tc>
          <w:tcPr>
            <w:tcW w:w="746" w:type="dxa"/>
            <w:tcBorders>
              <w:top w:val="nil"/>
              <w:left w:val="nil"/>
              <w:bottom w:val="single" w:color="auto" w:sz="4" w:space="0"/>
              <w:right w:val="nil"/>
            </w:tcBorders>
            <w:shd w:val="clear" w:color="auto" w:fill="DEEAF6" w:themeFill="accent5" w:themeFillTint="33"/>
            <w:noWrap/>
            <w:vAlign w:val="center"/>
            <w:hideMark/>
          </w:tcPr>
          <w:p w:rsidRPr="00F16B94" w:rsidR="003748C0" w:rsidP="00F16B94" w:rsidRDefault="003748C0" w14:paraId="06C1A9B0"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2021</w:t>
            </w:r>
          </w:p>
        </w:tc>
        <w:tc>
          <w:tcPr>
            <w:tcW w:w="746" w:type="dxa"/>
            <w:tcBorders>
              <w:top w:val="nil"/>
              <w:left w:val="nil"/>
              <w:bottom w:val="single" w:color="auto" w:sz="4" w:space="0"/>
              <w:right w:val="nil"/>
            </w:tcBorders>
            <w:shd w:val="clear" w:color="auto" w:fill="DEEAF6" w:themeFill="accent5" w:themeFillTint="33"/>
            <w:noWrap/>
            <w:vAlign w:val="center"/>
            <w:hideMark/>
          </w:tcPr>
          <w:p w:rsidRPr="00F16B94" w:rsidR="003748C0" w:rsidP="00F16B94" w:rsidRDefault="003748C0" w14:paraId="4E978035"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2022</w:t>
            </w:r>
          </w:p>
        </w:tc>
        <w:tc>
          <w:tcPr>
            <w:tcW w:w="746" w:type="dxa"/>
            <w:tcBorders>
              <w:top w:val="nil"/>
              <w:left w:val="nil"/>
              <w:bottom w:val="single" w:color="auto" w:sz="4" w:space="0"/>
              <w:right w:val="nil"/>
            </w:tcBorders>
            <w:shd w:val="clear" w:color="auto" w:fill="DEEAF6" w:themeFill="accent5" w:themeFillTint="33"/>
            <w:noWrap/>
            <w:vAlign w:val="center"/>
            <w:hideMark/>
          </w:tcPr>
          <w:p w:rsidRPr="00F16B94" w:rsidR="003748C0" w:rsidP="00F16B94" w:rsidRDefault="003748C0" w14:paraId="251E3EBB"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2023</w:t>
            </w:r>
          </w:p>
        </w:tc>
        <w:tc>
          <w:tcPr>
            <w:tcW w:w="746" w:type="dxa"/>
            <w:tcBorders>
              <w:top w:val="nil"/>
              <w:left w:val="nil"/>
              <w:bottom w:val="single" w:color="auto" w:sz="4" w:space="0"/>
              <w:right w:val="nil"/>
            </w:tcBorders>
            <w:shd w:val="clear" w:color="auto" w:fill="DEEAF6" w:themeFill="accent5" w:themeFillTint="33"/>
            <w:noWrap/>
            <w:vAlign w:val="center"/>
            <w:hideMark/>
          </w:tcPr>
          <w:p w:rsidRPr="00F16B94" w:rsidR="003748C0" w:rsidP="00F16B94" w:rsidRDefault="003748C0" w14:paraId="14595EBB"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2024</w:t>
            </w:r>
          </w:p>
        </w:tc>
        <w:tc>
          <w:tcPr>
            <w:tcW w:w="746" w:type="dxa"/>
            <w:tcBorders>
              <w:top w:val="nil"/>
              <w:left w:val="nil"/>
              <w:bottom w:val="single" w:color="auto" w:sz="4" w:space="0"/>
              <w:right w:val="nil"/>
            </w:tcBorders>
            <w:shd w:val="clear" w:color="auto" w:fill="DEEAF6" w:themeFill="accent5" w:themeFillTint="33"/>
            <w:noWrap/>
            <w:vAlign w:val="center"/>
            <w:hideMark/>
          </w:tcPr>
          <w:p w:rsidRPr="00F16B94" w:rsidR="003748C0" w:rsidP="00F16B94" w:rsidRDefault="003748C0" w14:paraId="4393FAC2"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F16B94">
              <w:rPr>
                <w:rFonts w:ascii="Verdana" w:hAnsi="Verdana" w:eastAsia="Times New Roman" w:cs="Calibri"/>
                <w:b/>
                <w:bCs/>
                <w:color w:val="000000"/>
                <w:kern w:val="0"/>
                <w:sz w:val="18"/>
                <w:szCs w:val="18"/>
                <w:lang w:eastAsia="nl-NL"/>
                <w14:ligatures w14:val="none"/>
              </w:rPr>
              <w:t>2025</w:t>
            </w:r>
          </w:p>
        </w:tc>
      </w:tr>
      <w:tr w:rsidRPr="00416F70" w:rsidR="003748C0" w:rsidTr="00F16B94" w14:paraId="181687D9" w14:textId="77777777">
        <w:trPr>
          <w:trHeight w:val="290"/>
        </w:trPr>
        <w:tc>
          <w:tcPr>
            <w:tcW w:w="1281" w:type="dxa"/>
            <w:tcBorders>
              <w:top w:val="nil"/>
              <w:left w:val="nil"/>
              <w:bottom w:val="nil"/>
              <w:right w:val="single" w:color="auto" w:sz="4" w:space="0"/>
            </w:tcBorders>
            <w:noWrap/>
            <w:vAlign w:val="center"/>
            <w:hideMark/>
          </w:tcPr>
          <w:p w:rsidRPr="00F16B94" w:rsidR="003748C0" w:rsidP="00F16B94" w:rsidRDefault="003748C0" w14:paraId="079B7569" w14:textId="77777777">
            <w:pPr>
              <w:spacing w:after="0" w:line="240" w:lineRule="auto"/>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Overheid</w:t>
            </w:r>
          </w:p>
        </w:tc>
        <w:tc>
          <w:tcPr>
            <w:tcW w:w="746" w:type="dxa"/>
            <w:tcBorders>
              <w:top w:val="nil"/>
              <w:left w:val="single" w:color="auto" w:sz="4" w:space="0"/>
              <w:bottom w:val="nil"/>
              <w:right w:val="nil"/>
            </w:tcBorders>
            <w:noWrap/>
            <w:vAlign w:val="center"/>
            <w:hideMark/>
          </w:tcPr>
          <w:p w:rsidRPr="00F16B94" w:rsidR="003748C0" w:rsidP="00F16B94" w:rsidRDefault="003748C0" w14:paraId="71F3FAA8"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34%</w:t>
            </w:r>
          </w:p>
        </w:tc>
        <w:tc>
          <w:tcPr>
            <w:tcW w:w="746" w:type="dxa"/>
            <w:tcBorders>
              <w:top w:val="nil"/>
              <w:left w:val="nil"/>
              <w:bottom w:val="nil"/>
              <w:right w:val="nil"/>
            </w:tcBorders>
            <w:noWrap/>
            <w:vAlign w:val="center"/>
            <w:hideMark/>
          </w:tcPr>
          <w:p w:rsidRPr="00F16B94" w:rsidR="003748C0" w:rsidP="00F16B94" w:rsidRDefault="003748C0" w14:paraId="37E4041B"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45%</w:t>
            </w:r>
          </w:p>
        </w:tc>
        <w:tc>
          <w:tcPr>
            <w:tcW w:w="746" w:type="dxa"/>
            <w:tcBorders>
              <w:top w:val="nil"/>
              <w:left w:val="nil"/>
              <w:bottom w:val="nil"/>
              <w:right w:val="nil"/>
            </w:tcBorders>
            <w:noWrap/>
            <w:vAlign w:val="center"/>
            <w:hideMark/>
          </w:tcPr>
          <w:p w:rsidRPr="00F16B94" w:rsidR="003748C0" w:rsidP="00F16B94" w:rsidRDefault="003748C0" w14:paraId="417E4A10"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49%</w:t>
            </w:r>
          </w:p>
        </w:tc>
        <w:tc>
          <w:tcPr>
            <w:tcW w:w="746" w:type="dxa"/>
            <w:tcBorders>
              <w:top w:val="nil"/>
              <w:left w:val="nil"/>
              <w:bottom w:val="nil"/>
              <w:right w:val="nil"/>
            </w:tcBorders>
            <w:noWrap/>
            <w:vAlign w:val="center"/>
            <w:hideMark/>
          </w:tcPr>
          <w:p w:rsidRPr="00F16B94" w:rsidR="003748C0" w:rsidP="00F16B94" w:rsidRDefault="003748C0" w14:paraId="24EC21E1" w14:textId="77777777">
            <w:pPr>
              <w:spacing w:after="0" w:line="240" w:lineRule="auto"/>
              <w:jc w:val="right"/>
              <w:rPr>
                <w:rFonts w:ascii="Verdana" w:hAnsi="Verdana" w:eastAsia="Times New Roman" w:cs="Calibri"/>
                <w:color w:val="000000"/>
                <w:kern w:val="0"/>
                <w:sz w:val="18"/>
                <w:szCs w:val="18"/>
                <w:lang w:eastAsia="nl-NL"/>
                <w14:ligatures w14:val="none"/>
              </w:rPr>
            </w:pPr>
            <w:r>
              <w:rPr>
                <w:rFonts w:ascii="Verdana" w:hAnsi="Verdana" w:cs="Calibri"/>
                <w:color w:val="000000"/>
                <w:sz w:val="18"/>
                <w:szCs w:val="18"/>
              </w:rPr>
              <w:t>54</w:t>
            </w:r>
            <w:r w:rsidRPr="00F16B94">
              <w:rPr>
                <w:rFonts w:ascii="Verdana" w:hAnsi="Verdana" w:cs="Calibri"/>
                <w:color w:val="000000"/>
                <w:sz w:val="18"/>
                <w:szCs w:val="18"/>
              </w:rPr>
              <w:t>%</w:t>
            </w:r>
          </w:p>
        </w:tc>
        <w:tc>
          <w:tcPr>
            <w:tcW w:w="746" w:type="dxa"/>
            <w:tcBorders>
              <w:top w:val="nil"/>
              <w:left w:val="nil"/>
              <w:bottom w:val="nil"/>
              <w:right w:val="nil"/>
            </w:tcBorders>
            <w:noWrap/>
            <w:vAlign w:val="center"/>
            <w:hideMark/>
          </w:tcPr>
          <w:p w:rsidRPr="00F16B94" w:rsidR="003748C0" w:rsidP="00F16B94" w:rsidRDefault="003748C0" w14:paraId="11DC74F4"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59%</w:t>
            </w:r>
          </w:p>
        </w:tc>
        <w:tc>
          <w:tcPr>
            <w:tcW w:w="746" w:type="dxa"/>
            <w:tcBorders>
              <w:top w:val="nil"/>
              <w:left w:val="nil"/>
              <w:bottom w:val="nil"/>
              <w:right w:val="nil"/>
            </w:tcBorders>
            <w:noWrap/>
            <w:vAlign w:val="center"/>
            <w:hideMark/>
          </w:tcPr>
          <w:p w:rsidRPr="00F16B94" w:rsidR="003748C0" w:rsidP="00F16B94" w:rsidRDefault="003748C0" w14:paraId="517F81AB"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63%</w:t>
            </w:r>
          </w:p>
        </w:tc>
        <w:tc>
          <w:tcPr>
            <w:tcW w:w="746" w:type="dxa"/>
            <w:tcBorders>
              <w:top w:val="nil"/>
              <w:left w:val="nil"/>
              <w:bottom w:val="nil"/>
              <w:right w:val="nil"/>
            </w:tcBorders>
            <w:noWrap/>
            <w:vAlign w:val="center"/>
            <w:hideMark/>
          </w:tcPr>
          <w:p w:rsidRPr="00F16B94" w:rsidR="003748C0" w:rsidP="00F16B94" w:rsidRDefault="003748C0" w14:paraId="239E4C79"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64%</w:t>
            </w:r>
          </w:p>
        </w:tc>
        <w:tc>
          <w:tcPr>
            <w:tcW w:w="746" w:type="dxa"/>
            <w:tcBorders>
              <w:top w:val="nil"/>
              <w:left w:val="nil"/>
              <w:bottom w:val="nil"/>
              <w:right w:val="nil"/>
            </w:tcBorders>
            <w:noWrap/>
            <w:vAlign w:val="center"/>
            <w:hideMark/>
          </w:tcPr>
          <w:p w:rsidRPr="00F16B94" w:rsidR="003748C0" w:rsidP="00F16B94" w:rsidRDefault="003748C0" w14:paraId="0AE87F26"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64%</w:t>
            </w:r>
          </w:p>
        </w:tc>
        <w:tc>
          <w:tcPr>
            <w:tcW w:w="746" w:type="dxa"/>
            <w:tcBorders>
              <w:top w:val="nil"/>
              <w:left w:val="nil"/>
              <w:bottom w:val="nil"/>
              <w:right w:val="nil"/>
            </w:tcBorders>
            <w:noWrap/>
            <w:vAlign w:val="center"/>
            <w:hideMark/>
          </w:tcPr>
          <w:p w:rsidRPr="00F16B94" w:rsidR="003748C0" w:rsidP="00F16B94" w:rsidRDefault="003748C0" w14:paraId="14628955"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62%</w:t>
            </w:r>
          </w:p>
        </w:tc>
        <w:tc>
          <w:tcPr>
            <w:tcW w:w="746" w:type="dxa"/>
            <w:tcBorders>
              <w:top w:val="nil"/>
              <w:left w:val="nil"/>
              <w:bottom w:val="nil"/>
              <w:right w:val="nil"/>
            </w:tcBorders>
            <w:noWrap/>
            <w:vAlign w:val="center"/>
            <w:hideMark/>
          </w:tcPr>
          <w:p w:rsidRPr="00F16B94" w:rsidR="003748C0" w:rsidP="00F16B94" w:rsidRDefault="003748C0" w14:paraId="233B4205"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64%</w:t>
            </w:r>
          </w:p>
        </w:tc>
        <w:tc>
          <w:tcPr>
            <w:tcW w:w="746" w:type="dxa"/>
            <w:tcBorders>
              <w:top w:val="nil"/>
              <w:left w:val="nil"/>
              <w:bottom w:val="nil"/>
              <w:right w:val="nil"/>
            </w:tcBorders>
            <w:noWrap/>
            <w:vAlign w:val="center"/>
            <w:hideMark/>
          </w:tcPr>
          <w:p w:rsidRPr="00F16B94" w:rsidR="003748C0" w:rsidP="00F16B94" w:rsidRDefault="003748C0" w14:paraId="33607FE0"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67%</w:t>
            </w:r>
          </w:p>
        </w:tc>
      </w:tr>
      <w:tr w:rsidRPr="00416F70" w:rsidR="003748C0" w:rsidTr="00F16B94" w14:paraId="21254417" w14:textId="77777777">
        <w:trPr>
          <w:trHeight w:val="290"/>
        </w:trPr>
        <w:tc>
          <w:tcPr>
            <w:tcW w:w="1281" w:type="dxa"/>
            <w:tcBorders>
              <w:top w:val="nil"/>
              <w:left w:val="nil"/>
              <w:bottom w:val="single" w:color="auto" w:sz="4" w:space="0"/>
              <w:right w:val="single" w:color="auto" w:sz="4" w:space="0"/>
            </w:tcBorders>
            <w:noWrap/>
            <w:vAlign w:val="center"/>
            <w:hideMark/>
          </w:tcPr>
          <w:p w:rsidRPr="00F16B94" w:rsidR="003748C0" w:rsidP="00F16B94" w:rsidRDefault="003748C0" w14:paraId="336650A5" w14:textId="77777777">
            <w:pPr>
              <w:spacing w:after="0" w:line="240" w:lineRule="auto"/>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lastRenderedPageBreak/>
              <w:t>Werkgevers</w:t>
            </w:r>
          </w:p>
        </w:tc>
        <w:tc>
          <w:tcPr>
            <w:tcW w:w="746" w:type="dxa"/>
            <w:tcBorders>
              <w:top w:val="nil"/>
              <w:left w:val="single" w:color="auto" w:sz="4" w:space="0"/>
              <w:bottom w:val="single" w:color="auto" w:sz="4" w:space="0"/>
              <w:right w:val="nil"/>
            </w:tcBorders>
            <w:noWrap/>
            <w:vAlign w:val="center"/>
            <w:hideMark/>
          </w:tcPr>
          <w:p w:rsidRPr="00F16B94" w:rsidR="003748C0" w:rsidP="00F16B94" w:rsidRDefault="003748C0" w14:paraId="7730A859"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66%</w:t>
            </w:r>
          </w:p>
        </w:tc>
        <w:tc>
          <w:tcPr>
            <w:tcW w:w="746" w:type="dxa"/>
            <w:tcBorders>
              <w:top w:val="nil"/>
              <w:left w:val="nil"/>
              <w:bottom w:val="single" w:color="auto" w:sz="4" w:space="0"/>
              <w:right w:val="nil"/>
            </w:tcBorders>
            <w:noWrap/>
            <w:vAlign w:val="center"/>
            <w:hideMark/>
          </w:tcPr>
          <w:p w:rsidRPr="00F16B94" w:rsidR="003748C0" w:rsidP="00F16B94" w:rsidRDefault="003748C0" w14:paraId="20B75971"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55%</w:t>
            </w:r>
          </w:p>
        </w:tc>
        <w:tc>
          <w:tcPr>
            <w:tcW w:w="746" w:type="dxa"/>
            <w:tcBorders>
              <w:top w:val="nil"/>
              <w:left w:val="nil"/>
              <w:bottom w:val="single" w:color="auto" w:sz="4" w:space="0"/>
              <w:right w:val="nil"/>
            </w:tcBorders>
            <w:noWrap/>
            <w:vAlign w:val="center"/>
            <w:hideMark/>
          </w:tcPr>
          <w:p w:rsidRPr="00F16B94" w:rsidR="003748C0" w:rsidP="00F16B94" w:rsidRDefault="003748C0" w14:paraId="34EF0850"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51%</w:t>
            </w:r>
          </w:p>
        </w:tc>
        <w:tc>
          <w:tcPr>
            <w:tcW w:w="746" w:type="dxa"/>
            <w:tcBorders>
              <w:top w:val="nil"/>
              <w:left w:val="nil"/>
              <w:bottom w:val="single" w:color="auto" w:sz="4" w:space="0"/>
              <w:right w:val="nil"/>
            </w:tcBorders>
            <w:noWrap/>
            <w:vAlign w:val="center"/>
            <w:hideMark/>
          </w:tcPr>
          <w:p w:rsidRPr="00F16B94" w:rsidR="003748C0" w:rsidP="00F16B94" w:rsidRDefault="003748C0" w14:paraId="511EAABF"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4</w:t>
            </w:r>
            <w:r>
              <w:rPr>
                <w:rFonts w:ascii="Verdana" w:hAnsi="Verdana" w:cs="Calibri"/>
                <w:color w:val="000000"/>
                <w:sz w:val="18"/>
                <w:szCs w:val="18"/>
              </w:rPr>
              <w:t>6</w:t>
            </w:r>
            <w:r w:rsidRPr="00F16B94">
              <w:rPr>
                <w:rFonts w:ascii="Verdana" w:hAnsi="Verdana" w:cs="Calibri"/>
                <w:color w:val="000000"/>
                <w:sz w:val="18"/>
                <w:szCs w:val="18"/>
              </w:rPr>
              <w:t>%</w:t>
            </w:r>
          </w:p>
        </w:tc>
        <w:tc>
          <w:tcPr>
            <w:tcW w:w="746" w:type="dxa"/>
            <w:tcBorders>
              <w:top w:val="nil"/>
              <w:left w:val="nil"/>
              <w:bottom w:val="single" w:color="auto" w:sz="4" w:space="0"/>
              <w:right w:val="nil"/>
            </w:tcBorders>
            <w:noWrap/>
            <w:vAlign w:val="center"/>
            <w:hideMark/>
          </w:tcPr>
          <w:p w:rsidRPr="00F16B94" w:rsidR="003748C0" w:rsidP="00F16B94" w:rsidRDefault="003748C0" w14:paraId="20893861"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41%</w:t>
            </w:r>
          </w:p>
        </w:tc>
        <w:tc>
          <w:tcPr>
            <w:tcW w:w="746" w:type="dxa"/>
            <w:tcBorders>
              <w:top w:val="nil"/>
              <w:left w:val="nil"/>
              <w:bottom w:val="single" w:color="auto" w:sz="4" w:space="0"/>
              <w:right w:val="nil"/>
            </w:tcBorders>
            <w:noWrap/>
            <w:vAlign w:val="center"/>
            <w:hideMark/>
          </w:tcPr>
          <w:p w:rsidRPr="00F16B94" w:rsidR="003748C0" w:rsidP="00F16B94" w:rsidRDefault="003748C0" w14:paraId="4B44B6A8"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37%</w:t>
            </w:r>
          </w:p>
        </w:tc>
        <w:tc>
          <w:tcPr>
            <w:tcW w:w="746" w:type="dxa"/>
            <w:tcBorders>
              <w:top w:val="nil"/>
              <w:left w:val="nil"/>
              <w:bottom w:val="single" w:color="auto" w:sz="4" w:space="0"/>
              <w:right w:val="nil"/>
            </w:tcBorders>
            <w:noWrap/>
            <w:vAlign w:val="center"/>
            <w:hideMark/>
          </w:tcPr>
          <w:p w:rsidRPr="00F16B94" w:rsidR="003748C0" w:rsidP="00F16B94" w:rsidRDefault="003748C0" w14:paraId="26202792"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36%</w:t>
            </w:r>
          </w:p>
        </w:tc>
        <w:tc>
          <w:tcPr>
            <w:tcW w:w="746" w:type="dxa"/>
            <w:tcBorders>
              <w:top w:val="nil"/>
              <w:left w:val="nil"/>
              <w:bottom w:val="single" w:color="auto" w:sz="4" w:space="0"/>
              <w:right w:val="nil"/>
            </w:tcBorders>
            <w:noWrap/>
            <w:vAlign w:val="center"/>
            <w:hideMark/>
          </w:tcPr>
          <w:p w:rsidRPr="00F16B94" w:rsidR="003748C0" w:rsidP="00F16B94" w:rsidRDefault="003748C0" w14:paraId="3A9ACC07"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36%</w:t>
            </w:r>
          </w:p>
        </w:tc>
        <w:tc>
          <w:tcPr>
            <w:tcW w:w="746" w:type="dxa"/>
            <w:tcBorders>
              <w:top w:val="nil"/>
              <w:left w:val="nil"/>
              <w:bottom w:val="single" w:color="auto" w:sz="4" w:space="0"/>
              <w:right w:val="nil"/>
            </w:tcBorders>
            <w:noWrap/>
            <w:vAlign w:val="center"/>
            <w:hideMark/>
          </w:tcPr>
          <w:p w:rsidRPr="00F16B94" w:rsidR="003748C0" w:rsidP="00F16B94" w:rsidRDefault="003748C0" w14:paraId="5F920707"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38%</w:t>
            </w:r>
          </w:p>
        </w:tc>
        <w:tc>
          <w:tcPr>
            <w:tcW w:w="746" w:type="dxa"/>
            <w:tcBorders>
              <w:top w:val="nil"/>
              <w:left w:val="nil"/>
              <w:bottom w:val="single" w:color="auto" w:sz="4" w:space="0"/>
              <w:right w:val="nil"/>
            </w:tcBorders>
            <w:noWrap/>
            <w:vAlign w:val="center"/>
            <w:hideMark/>
          </w:tcPr>
          <w:p w:rsidRPr="00F16B94" w:rsidR="003748C0" w:rsidP="00F16B94" w:rsidRDefault="003748C0" w14:paraId="00247342"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36%</w:t>
            </w:r>
          </w:p>
        </w:tc>
        <w:tc>
          <w:tcPr>
            <w:tcW w:w="746" w:type="dxa"/>
            <w:tcBorders>
              <w:top w:val="nil"/>
              <w:left w:val="nil"/>
              <w:bottom w:val="single" w:color="auto" w:sz="4" w:space="0"/>
              <w:right w:val="nil"/>
            </w:tcBorders>
            <w:noWrap/>
            <w:vAlign w:val="center"/>
            <w:hideMark/>
          </w:tcPr>
          <w:p w:rsidRPr="00F16B94" w:rsidR="003748C0" w:rsidP="00F16B94" w:rsidRDefault="003748C0" w14:paraId="11666B0B"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cs="Calibri"/>
                <w:color w:val="000000"/>
                <w:sz w:val="18"/>
                <w:szCs w:val="18"/>
              </w:rPr>
              <w:t>33%</w:t>
            </w:r>
          </w:p>
        </w:tc>
      </w:tr>
      <w:tr w:rsidRPr="00416F70" w:rsidR="003748C0" w:rsidTr="00F16B94" w14:paraId="1BE994A9" w14:textId="77777777">
        <w:trPr>
          <w:trHeight w:val="290"/>
        </w:trPr>
        <w:tc>
          <w:tcPr>
            <w:tcW w:w="1281" w:type="dxa"/>
            <w:tcBorders>
              <w:top w:val="single" w:color="auto" w:sz="4" w:space="0"/>
              <w:left w:val="nil"/>
              <w:bottom w:val="double" w:color="auto" w:sz="4" w:space="0"/>
              <w:right w:val="single" w:color="auto" w:sz="4" w:space="0"/>
            </w:tcBorders>
            <w:noWrap/>
            <w:vAlign w:val="center"/>
            <w:hideMark/>
          </w:tcPr>
          <w:p w:rsidRPr="00F16B94" w:rsidR="003748C0" w:rsidP="00F16B94" w:rsidRDefault="003748C0" w14:paraId="2DB1E5F4" w14:textId="77777777">
            <w:pPr>
              <w:spacing w:after="0" w:line="240" w:lineRule="auto"/>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Totaal</w:t>
            </w:r>
          </w:p>
        </w:tc>
        <w:tc>
          <w:tcPr>
            <w:tcW w:w="746" w:type="dxa"/>
            <w:tcBorders>
              <w:top w:val="single" w:color="auto" w:sz="4" w:space="0"/>
              <w:left w:val="single" w:color="auto" w:sz="4" w:space="0"/>
              <w:bottom w:val="double" w:color="auto" w:sz="4" w:space="0"/>
              <w:right w:val="nil"/>
            </w:tcBorders>
            <w:noWrap/>
            <w:vAlign w:val="center"/>
            <w:hideMark/>
          </w:tcPr>
          <w:p w:rsidRPr="00F16B94" w:rsidR="003748C0" w:rsidP="00F16B94" w:rsidRDefault="003748C0" w14:paraId="1CCF8527"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c>
          <w:tcPr>
            <w:tcW w:w="746" w:type="dxa"/>
            <w:tcBorders>
              <w:top w:val="single" w:color="auto" w:sz="4" w:space="0"/>
              <w:left w:val="nil"/>
              <w:bottom w:val="double" w:color="auto" w:sz="4" w:space="0"/>
              <w:right w:val="nil"/>
            </w:tcBorders>
            <w:noWrap/>
            <w:vAlign w:val="center"/>
            <w:hideMark/>
          </w:tcPr>
          <w:p w:rsidRPr="00F16B94" w:rsidR="003748C0" w:rsidP="00F16B94" w:rsidRDefault="003748C0" w14:paraId="6033F5E5"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c>
          <w:tcPr>
            <w:tcW w:w="746" w:type="dxa"/>
            <w:tcBorders>
              <w:top w:val="single" w:color="auto" w:sz="4" w:space="0"/>
              <w:left w:val="nil"/>
              <w:bottom w:val="double" w:color="auto" w:sz="4" w:space="0"/>
              <w:right w:val="nil"/>
            </w:tcBorders>
            <w:noWrap/>
            <w:vAlign w:val="center"/>
            <w:hideMark/>
          </w:tcPr>
          <w:p w:rsidRPr="00F16B94" w:rsidR="003748C0" w:rsidP="00F16B94" w:rsidRDefault="003748C0" w14:paraId="446D2C08"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c>
          <w:tcPr>
            <w:tcW w:w="746" w:type="dxa"/>
            <w:tcBorders>
              <w:top w:val="single" w:color="auto" w:sz="4" w:space="0"/>
              <w:left w:val="nil"/>
              <w:bottom w:val="double" w:color="auto" w:sz="4" w:space="0"/>
              <w:right w:val="nil"/>
            </w:tcBorders>
            <w:noWrap/>
            <w:vAlign w:val="center"/>
            <w:hideMark/>
          </w:tcPr>
          <w:p w:rsidRPr="00F16B94" w:rsidR="003748C0" w:rsidP="00F16B94" w:rsidRDefault="003748C0" w14:paraId="2B3F0094"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c>
          <w:tcPr>
            <w:tcW w:w="746" w:type="dxa"/>
            <w:tcBorders>
              <w:top w:val="single" w:color="auto" w:sz="4" w:space="0"/>
              <w:left w:val="nil"/>
              <w:bottom w:val="double" w:color="auto" w:sz="4" w:space="0"/>
              <w:right w:val="nil"/>
            </w:tcBorders>
            <w:noWrap/>
            <w:vAlign w:val="center"/>
            <w:hideMark/>
          </w:tcPr>
          <w:p w:rsidRPr="00F16B94" w:rsidR="003748C0" w:rsidP="00F16B94" w:rsidRDefault="003748C0" w14:paraId="2B060728"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c>
          <w:tcPr>
            <w:tcW w:w="746" w:type="dxa"/>
            <w:tcBorders>
              <w:top w:val="single" w:color="auto" w:sz="4" w:space="0"/>
              <w:left w:val="nil"/>
              <w:bottom w:val="double" w:color="auto" w:sz="4" w:space="0"/>
              <w:right w:val="nil"/>
            </w:tcBorders>
            <w:noWrap/>
            <w:vAlign w:val="center"/>
            <w:hideMark/>
          </w:tcPr>
          <w:p w:rsidRPr="00F16B94" w:rsidR="003748C0" w:rsidP="00F16B94" w:rsidRDefault="003748C0" w14:paraId="214D57C2"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c>
          <w:tcPr>
            <w:tcW w:w="746" w:type="dxa"/>
            <w:tcBorders>
              <w:top w:val="single" w:color="auto" w:sz="4" w:space="0"/>
              <w:left w:val="nil"/>
              <w:bottom w:val="double" w:color="auto" w:sz="4" w:space="0"/>
              <w:right w:val="nil"/>
            </w:tcBorders>
            <w:noWrap/>
            <w:vAlign w:val="center"/>
            <w:hideMark/>
          </w:tcPr>
          <w:p w:rsidRPr="00F16B94" w:rsidR="003748C0" w:rsidP="00F16B94" w:rsidRDefault="003748C0" w14:paraId="2F2C793B"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c>
          <w:tcPr>
            <w:tcW w:w="746" w:type="dxa"/>
            <w:tcBorders>
              <w:top w:val="single" w:color="auto" w:sz="4" w:space="0"/>
              <w:left w:val="nil"/>
              <w:bottom w:val="double" w:color="auto" w:sz="4" w:space="0"/>
              <w:right w:val="nil"/>
            </w:tcBorders>
            <w:noWrap/>
            <w:vAlign w:val="center"/>
            <w:hideMark/>
          </w:tcPr>
          <w:p w:rsidRPr="00F16B94" w:rsidR="003748C0" w:rsidP="00F16B94" w:rsidRDefault="003748C0" w14:paraId="58339869"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c>
          <w:tcPr>
            <w:tcW w:w="746" w:type="dxa"/>
            <w:tcBorders>
              <w:top w:val="single" w:color="auto" w:sz="4" w:space="0"/>
              <w:left w:val="nil"/>
              <w:bottom w:val="double" w:color="auto" w:sz="4" w:space="0"/>
              <w:right w:val="nil"/>
            </w:tcBorders>
            <w:noWrap/>
            <w:vAlign w:val="center"/>
            <w:hideMark/>
          </w:tcPr>
          <w:p w:rsidRPr="00F16B94" w:rsidR="003748C0" w:rsidP="00F16B94" w:rsidRDefault="003748C0" w14:paraId="4E6AD507"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c>
          <w:tcPr>
            <w:tcW w:w="746" w:type="dxa"/>
            <w:tcBorders>
              <w:top w:val="single" w:color="auto" w:sz="4" w:space="0"/>
              <w:left w:val="nil"/>
              <w:bottom w:val="double" w:color="auto" w:sz="4" w:space="0"/>
              <w:right w:val="nil"/>
            </w:tcBorders>
            <w:noWrap/>
            <w:vAlign w:val="center"/>
            <w:hideMark/>
          </w:tcPr>
          <w:p w:rsidRPr="00F16B94" w:rsidR="003748C0" w:rsidP="00F16B94" w:rsidRDefault="003748C0" w14:paraId="737B420F"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c>
          <w:tcPr>
            <w:tcW w:w="746" w:type="dxa"/>
            <w:tcBorders>
              <w:top w:val="single" w:color="auto" w:sz="4" w:space="0"/>
              <w:left w:val="nil"/>
              <w:bottom w:val="double" w:color="auto" w:sz="4" w:space="0"/>
              <w:right w:val="nil"/>
            </w:tcBorders>
            <w:noWrap/>
            <w:vAlign w:val="center"/>
            <w:hideMark/>
          </w:tcPr>
          <w:p w:rsidRPr="00F16B94" w:rsidR="003748C0" w:rsidP="00F16B94" w:rsidRDefault="003748C0" w14:paraId="5AA23574" w14:textId="77777777">
            <w:pPr>
              <w:spacing w:after="0" w:line="240" w:lineRule="auto"/>
              <w:jc w:val="right"/>
              <w:rPr>
                <w:rFonts w:ascii="Verdana" w:hAnsi="Verdana" w:eastAsia="Times New Roman" w:cs="Calibri"/>
                <w:color w:val="000000"/>
                <w:kern w:val="0"/>
                <w:sz w:val="18"/>
                <w:szCs w:val="18"/>
                <w:lang w:eastAsia="nl-NL"/>
                <w14:ligatures w14:val="none"/>
              </w:rPr>
            </w:pPr>
            <w:r w:rsidRPr="00F16B94">
              <w:rPr>
                <w:rFonts w:ascii="Verdana" w:hAnsi="Verdana" w:eastAsia="Times New Roman" w:cs="Calibri"/>
                <w:color w:val="000000"/>
                <w:kern w:val="0"/>
                <w:sz w:val="18"/>
                <w:szCs w:val="18"/>
                <w:lang w:eastAsia="nl-NL"/>
                <w14:ligatures w14:val="none"/>
              </w:rPr>
              <w:t>100%</w:t>
            </w:r>
          </w:p>
        </w:tc>
      </w:tr>
    </w:tbl>
    <w:p w:rsidR="003748C0" w:rsidP="003748C0" w:rsidRDefault="003748C0" w14:paraId="6AF8D1FC" w14:textId="77777777">
      <w:pPr>
        <w:pStyle w:val="Geenafstand"/>
        <w:rPr>
          <w:rFonts w:ascii="Verdana" w:hAnsi="Verdana"/>
          <w:sz w:val="18"/>
          <w:szCs w:val="18"/>
        </w:rPr>
      </w:pPr>
      <w:r>
        <w:rPr>
          <w:rFonts w:ascii="Verdana" w:hAnsi="Verdana"/>
          <w:sz w:val="18"/>
          <w:szCs w:val="18"/>
        </w:rPr>
        <w:t xml:space="preserve"> </w:t>
      </w:r>
    </w:p>
    <w:p w:rsidR="003748C0" w:rsidP="003748C0" w:rsidRDefault="003748C0" w14:paraId="669CB265" w14:textId="77777777">
      <w:pPr>
        <w:pStyle w:val="Geenafstand"/>
        <w:rPr>
          <w:rFonts w:ascii="Verdana" w:hAnsi="Verdana"/>
          <w:sz w:val="18"/>
          <w:szCs w:val="18"/>
        </w:rPr>
      </w:pPr>
      <w:r>
        <w:rPr>
          <w:rFonts w:ascii="Verdana" w:hAnsi="Verdana"/>
          <w:sz w:val="18"/>
          <w:szCs w:val="18"/>
        </w:rPr>
        <w:t>Het aandeel dat werkgevers bijdragen is afgelopen jaren gedaald naar 1/3</w:t>
      </w:r>
      <w:r w:rsidRPr="0021521E">
        <w:rPr>
          <w:rFonts w:ascii="Verdana" w:hAnsi="Verdana"/>
          <w:sz w:val="18"/>
          <w:szCs w:val="18"/>
          <w:vertAlign w:val="superscript"/>
        </w:rPr>
        <w:t>e</w:t>
      </w:r>
      <w:r>
        <w:rPr>
          <w:rFonts w:ascii="Verdana" w:hAnsi="Verdana"/>
          <w:sz w:val="18"/>
          <w:szCs w:val="18"/>
        </w:rPr>
        <w:t xml:space="preserve"> van het totaal in 2025. Dit komt gedeeltelijk doordat de overheid in 2025 een groter deel van de kinderopvangkosten vergoedt. De bijdrage uit de Aof-premie staat immers geheel los van het werkelijke gebruik van kinderopvang. Daarnaast is het gebruik van kinderopvang sterker gestegen dan de omvang van de werknemerspopulatie. Daardoor wordt de totale kinderopvangtoeslag hoger, terwijl daar niet direct een hogere werkgeversbijdrage tegenover staat. Hierdoor neemt het aandeel van de kinderopvangtoeslag dat uit collectieve middelen moet worden gefinancierd toe.</w:t>
      </w:r>
    </w:p>
    <w:p w:rsidRPr="00901120" w:rsidR="003748C0" w:rsidP="003748C0" w:rsidRDefault="003748C0" w14:paraId="2474C4A7" w14:textId="77777777">
      <w:pPr>
        <w:pStyle w:val="Geenafstand"/>
        <w:rPr>
          <w:rFonts w:ascii="Verdana" w:hAnsi="Verdana"/>
          <w:i/>
          <w:iCs/>
          <w:sz w:val="18"/>
          <w:szCs w:val="18"/>
        </w:rPr>
      </w:pPr>
    </w:p>
    <w:p w:rsidR="003748C0" w:rsidP="003748C0" w:rsidRDefault="003748C0" w14:paraId="2EA90D17" w14:textId="77777777">
      <w:pPr>
        <w:pStyle w:val="Geenafstand"/>
        <w:rPr>
          <w:rFonts w:ascii="Verdana" w:hAnsi="Verdana"/>
          <w:sz w:val="18"/>
          <w:szCs w:val="18"/>
        </w:rPr>
      </w:pPr>
      <w:r w:rsidRPr="00901120">
        <w:rPr>
          <w:rFonts w:ascii="Verdana" w:hAnsi="Verdana"/>
          <w:i/>
          <w:iCs/>
          <w:sz w:val="18"/>
          <w:szCs w:val="18"/>
        </w:rPr>
        <w:t>5.Hoe wordt de hoogte van de kinderopvangtoeslag precies bepaald: welke variabelen (inkomen, vermogen, in rekening gebrachte kosten door de opvang, aantal gewerkte uren van de vader/moeder, etc.) zijn bepalend? Wilt u u graag een toelichting geven op uw antwoord?</w:t>
      </w:r>
      <w:r w:rsidRPr="00901120">
        <w:rPr>
          <w:rFonts w:ascii="Verdana" w:hAnsi="Verdana"/>
          <w:i/>
          <w:iCs/>
          <w:sz w:val="18"/>
          <w:szCs w:val="18"/>
        </w:rPr>
        <w:br/>
      </w:r>
    </w:p>
    <w:p w:rsidR="003748C0" w:rsidP="003748C0" w:rsidRDefault="003748C0" w14:paraId="2667FDB4" w14:textId="77777777">
      <w:pPr>
        <w:pStyle w:val="Geenafstand"/>
        <w:rPr>
          <w:rFonts w:ascii="Verdana" w:hAnsi="Verdana"/>
          <w:sz w:val="18"/>
          <w:szCs w:val="18"/>
        </w:rPr>
      </w:pPr>
      <w:r>
        <w:rPr>
          <w:rFonts w:ascii="Verdana" w:hAnsi="Verdana"/>
          <w:sz w:val="18"/>
          <w:szCs w:val="18"/>
        </w:rPr>
        <w:t>De hoogte van de kinderopvangtoeslag wordt in de kern bepaald door (1) de hoogte van het inkomen, (2) het soort kinderopvang dat wordt afgenomen, (3) het aantal uren kinderopvang dat wordt afgenomen en (4) het aantal kinderen waarvoor kinderopvangtoeslag wordt aangevraagd. Het vermogen of het exacte aantal gewerkte uren van de ouder(s) spelen geen rol. In detail:</w:t>
      </w:r>
    </w:p>
    <w:p w:rsidR="003748C0" w:rsidP="003748C0" w:rsidRDefault="003748C0" w14:paraId="7E7CADC4" w14:textId="77777777">
      <w:pPr>
        <w:pStyle w:val="Geenafstand"/>
        <w:rPr>
          <w:rFonts w:ascii="Verdana" w:hAnsi="Verdana"/>
          <w:sz w:val="18"/>
          <w:szCs w:val="18"/>
        </w:rPr>
      </w:pPr>
    </w:p>
    <w:p w:rsidR="003748C0" w:rsidP="003748C0" w:rsidRDefault="003748C0" w14:paraId="10232E12" w14:textId="77777777">
      <w:pPr>
        <w:pStyle w:val="Geenafstand"/>
        <w:numPr>
          <w:ilvl w:val="0"/>
          <w:numId w:val="1"/>
        </w:numPr>
        <w:rPr>
          <w:rFonts w:ascii="Verdana" w:hAnsi="Verdana"/>
          <w:sz w:val="18"/>
          <w:szCs w:val="18"/>
        </w:rPr>
      </w:pPr>
      <w:r w:rsidRPr="00A3650E">
        <w:rPr>
          <w:rFonts w:ascii="Verdana" w:hAnsi="Verdana"/>
          <w:sz w:val="18"/>
          <w:szCs w:val="18"/>
          <w:u w:val="single"/>
        </w:rPr>
        <w:t>Toetsingsinkomen</w:t>
      </w:r>
      <w:r>
        <w:rPr>
          <w:rFonts w:ascii="Verdana" w:hAnsi="Verdana"/>
          <w:sz w:val="18"/>
          <w:szCs w:val="18"/>
        </w:rPr>
        <w:t>: de hoogte van het toetsingsinkomen bepaalt het percentage van de opvangkosten dat wordt vergoed. Dit is opgenomen in de toeslagtabel.</w:t>
      </w:r>
      <w:r>
        <w:rPr>
          <w:rStyle w:val="Voetnootmarkering"/>
          <w:rFonts w:ascii="Verdana" w:hAnsi="Verdana"/>
          <w:sz w:val="18"/>
          <w:szCs w:val="18"/>
        </w:rPr>
        <w:footnoteReference w:id="1"/>
      </w:r>
      <w:r>
        <w:rPr>
          <w:rFonts w:ascii="Verdana" w:hAnsi="Verdana"/>
          <w:sz w:val="18"/>
          <w:szCs w:val="18"/>
        </w:rPr>
        <w:t xml:space="preserve"> Het toetsingsinkomen betreft het verzamelinkomen van beide ouders. Hoe hoger het inkomen, hoe lager het vergoedingspercentage. In alle gevallen betalen ouders een eigen bijdrage; het vergoedingspercentage is nooit 100%. Het vergoedingspercentage voor het eerste kind bedraagt voor 2026 minimaal 36,5% (voor de hoogste inkomens) en maximaal 96% (voor de laagste inkomens) van de jaarlijks vastgestelde maximum uurprijs. Voor tweede kinderen en verder, geldt over het algemeen een hoger toeslagpercentage, van 68,2% voor de hoogste inkomens, eveneens tot maximaal 96% voor de laagste inkomens. Hierbij geldt dat het eerste kind niet per se het eerste kind is in leeftijd, maar het duurste kind. De maximum uurprijs is het maximale bedrag waarover de kinderopvangtoeslag wordt berekend. Kinderopvangorganisaties kunnen in de praktijk een hoger uurtarief rekenen.</w:t>
      </w:r>
    </w:p>
    <w:p w:rsidR="003748C0" w:rsidP="003748C0" w:rsidRDefault="003748C0" w14:paraId="30AB1160" w14:textId="77777777">
      <w:pPr>
        <w:pStyle w:val="Geenafstand"/>
        <w:ind w:left="720"/>
        <w:rPr>
          <w:rFonts w:ascii="Verdana" w:hAnsi="Verdana"/>
          <w:sz w:val="18"/>
          <w:szCs w:val="18"/>
        </w:rPr>
      </w:pPr>
    </w:p>
    <w:p w:rsidR="003748C0" w:rsidP="003748C0" w:rsidRDefault="003748C0" w14:paraId="2DC6697E" w14:textId="77777777">
      <w:pPr>
        <w:pStyle w:val="Geenafstand"/>
        <w:ind w:left="720"/>
        <w:rPr>
          <w:rFonts w:ascii="Verdana" w:hAnsi="Verdana"/>
          <w:sz w:val="18"/>
          <w:szCs w:val="18"/>
        </w:rPr>
      </w:pPr>
      <w:r>
        <w:rPr>
          <w:rFonts w:ascii="Verdana" w:hAnsi="Verdana"/>
          <w:sz w:val="18"/>
          <w:szCs w:val="18"/>
        </w:rPr>
        <w:t>Ouders maken vooraf een inschatting van hun inkomen. Nadat de belastinginspecteur het inkomen definitief heeft vastgesteld, vindt de definitieve toekenning van de toeslag plaats. Dit kan ertoe leiden dat ouders een nabetaling of een terugvordering krijgen, als het door henzelf geschatte inkomen afwijkt van het definitief vastgestelde inkomen.</w:t>
      </w:r>
    </w:p>
    <w:p w:rsidR="003748C0" w:rsidP="003748C0" w:rsidRDefault="003748C0" w14:paraId="2FC9C38B" w14:textId="77777777">
      <w:pPr>
        <w:pStyle w:val="Geenafstand"/>
        <w:ind w:left="720"/>
        <w:rPr>
          <w:rFonts w:ascii="Verdana" w:hAnsi="Verdana"/>
          <w:sz w:val="18"/>
          <w:szCs w:val="18"/>
        </w:rPr>
      </w:pPr>
    </w:p>
    <w:p w:rsidR="003748C0" w:rsidP="003748C0" w:rsidRDefault="003748C0" w14:paraId="6A5F6AE2" w14:textId="77777777">
      <w:pPr>
        <w:pStyle w:val="Geenafstand"/>
        <w:numPr>
          <w:ilvl w:val="0"/>
          <w:numId w:val="1"/>
        </w:numPr>
        <w:rPr>
          <w:rFonts w:ascii="Verdana" w:hAnsi="Verdana"/>
          <w:sz w:val="18"/>
          <w:szCs w:val="18"/>
        </w:rPr>
      </w:pPr>
      <w:r w:rsidRPr="00A3650E">
        <w:rPr>
          <w:rFonts w:ascii="Verdana" w:hAnsi="Verdana"/>
          <w:sz w:val="18"/>
          <w:szCs w:val="18"/>
          <w:u w:val="single"/>
        </w:rPr>
        <w:t>Type opvang</w:t>
      </w:r>
      <w:r>
        <w:rPr>
          <w:rFonts w:ascii="Verdana" w:hAnsi="Verdana"/>
          <w:sz w:val="18"/>
          <w:szCs w:val="18"/>
        </w:rPr>
        <w:t>: de maximum uurprijs verschilt voor ieder type kinderopvang. Er zijn drie typen formele kinderopvang, te weten kinderdagopvang (voor kinderen van 0-4 jaar), buitenschoolse opvang (bso, voor kinderen van 4-12 jaar) en gastouderopvang (voor kinderen van 0-12 jaar). De maximum uurprijs voor iedere opvangsoort wordt jaarlijks geïndexeerd en vastgesteld via het Besluit Kinderopvang. Uw Kamer heeft op 23 april 2025 de evaluatie van de indexeringssystematiek kinderopvangtoeslag ontvangen, waarin staat beschreven hoe de mamximum uurprijs jaarlijks wordt geïndexeerd.</w:t>
      </w:r>
      <w:r>
        <w:rPr>
          <w:rStyle w:val="Voetnootmarkering"/>
          <w:rFonts w:ascii="Verdana" w:hAnsi="Verdana"/>
          <w:sz w:val="18"/>
          <w:szCs w:val="18"/>
        </w:rPr>
        <w:footnoteReference w:id="2"/>
      </w:r>
    </w:p>
    <w:p w:rsidR="003748C0" w:rsidP="003748C0" w:rsidRDefault="003748C0" w14:paraId="69945390" w14:textId="77777777">
      <w:pPr>
        <w:pStyle w:val="Geenafstand"/>
        <w:ind w:left="720"/>
        <w:rPr>
          <w:rFonts w:ascii="Verdana" w:hAnsi="Verdana"/>
          <w:sz w:val="18"/>
          <w:szCs w:val="18"/>
        </w:rPr>
      </w:pPr>
    </w:p>
    <w:p w:rsidR="003748C0" w:rsidP="003748C0" w:rsidRDefault="003748C0" w14:paraId="7A56B7FD" w14:textId="77777777">
      <w:pPr>
        <w:pStyle w:val="Geenafstand"/>
        <w:numPr>
          <w:ilvl w:val="0"/>
          <w:numId w:val="1"/>
        </w:numPr>
        <w:rPr>
          <w:rFonts w:ascii="Verdana" w:hAnsi="Verdana"/>
          <w:sz w:val="18"/>
          <w:szCs w:val="18"/>
        </w:rPr>
      </w:pPr>
      <w:r w:rsidRPr="004B0EBF">
        <w:rPr>
          <w:rFonts w:ascii="Verdana" w:hAnsi="Verdana"/>
          <w:sz w:val="18"/>
          <w:szCs w:val="18"/>
          <w:u w:val="single"/>
        </w:rPr>
        <w:t>Aantal opvanguren</w:t>
      </w:r>
      <w:r>
        <w:rPr>
          <w:rFonts w:ascii="Verdana" w:hAnsi="Verdana"/>
          <w:sz w:val="18"/>
          <w:szCs w:val="18"/>
        </w:rPr>
        <w:t>: de hoogte van de kinderopvangtoeslag is eveneens afhankelijk van het aantal uren kinderopvang dat wordt afgenomen. Ouders krijgen per uur vergoed tot een maximum van 230 uur per maand (maximaal 2.760 uur per jaar).</w:t>
      </w:r>
    </w:p>
    <w:p w:rsidRPr="00EB29D2" w:rsidR="003748C0" w:rsidP="003748C0" w:rsidRDefault="003748C0" w14:paraId="6BDD6EB3" w14:textId="77777777">
      <w:pPr>
        <w:pStyle w:val="Geenafstand"/>
        <w:rPr>
          <w:rFonts w:ascii="Verdana" w:hAnsi="Verdana"/>
          <w:sz w:val="18"/>
          <w:szCs w:val="18"/>
        </w:rPr>
      </w:pPr>
    </w:p>
    <w:p w:rsidR="003748C0" w:rsidP="003748C0" w:rsidRDefault="003748C0" w14:paraId="28ECCABB" w14:textId="77777777">
      <w:pPr>
        <w:pStyle w:val="Geenafstand"/>
        <w:numPr>
          <w:ilvl w:val="0"/>
          <w:numId w:val="1"/>
        </w:numPr>
        <w:rPr>
          <w:rFonts w:ascii="Verdana" w:hAnsi="Verdana"/>
          <w:sz w:val="18"/>
          <w:szCs w:val="18"/>
        </w:rPr>
      </w:pPr>
      <w:r w:rsidRPr="001D7560">
        <w:rPr>
          <w:rFonts w:ascii="Verdana" w:hAnsi="Verdana"/>
          <w:sz w:val="18"/>
          <w:szCs w:val="18"/>
          <w:u w:val="single"/>
        </w:rPr>
        <w:t>Aantal kinderen</w:t>
      </w:r>
      <w:r>
        <w:rPr>
          <w:rFonts w:ascii="Verdana" w:hAnsi="Verdana"/>
          <w:sz w:val="18"/>
          <w:szCs w:val="18"/>
        </w:rPr>
        <w:t>: een ouder kan kinderopvangtoeslag aanvragen voor meerdere kinderen. Voor het eerste kind en volgende kinderen (tweede kind en verder) worden verschillende vergoedingspercentages gehanteerd. Deze percentages zijn te vinden in de toeslagtabel.</w:t>
      </w:r>
      <w:r>
        <w:rPr>
          <w:rStyle w:val="Voetnootmarkering"/>
          <w:rFonts w:ascii="Verdana" w:hAnsi="Verdana"/>
          <w:sz w:val="18"/>
          <w:szCs w:val="18"/>
        </w:rPr>
        <w:footnoteReference w:id="3"/>
      </w:r>
    </w:p>
    <w:p w:rsidRPr="00901120" w:rsidR="003748C0" w:rsidP="003748C0" w:rsidRDefault="003748C0" w14:paraId="1F2A2B99" w14:textId="77777777">
      <w:pPr>
        <w:pStyle w:val="Geenafstand"/>
        <w:ind w:left="720"/>
        <w:rPr>
          <w:rFonts w:ascii="Verdana" w:hAnsi="Verdana"/>
          <w:sz w:val="18"/>
          <w:szCs w:val="18"/>
        </w:rPr>
      </w:pPr>
    </w:p>
    <w:p w:rsidRPr="00901120" w:rsidR="003748C0" w:rsidP="003748C0" w:rsidRDefault="003748C0" w14:paraId="2FD740E2" w14:textId="77777777">
      <w:pPr>
        <w:pStyle w:val="Geenafstand"/>
        <w:rPr>
          <w:rFonts w:ascii="Verdana" w:hAnsi="Verdana"/>
          <w:sz w:val="18"/>
          <w:szCs w:val="18"/>
        </w:rPr>
      </w:pPr>
    </w:p>
    <w:p w:rsidR="003748C0" w:rsidP="003748C0" w:rsidRDefault="003748C0" w14:paraId="6FE0EFB2" w14:textId="77777777">
      <w:pPr>
        <w:pStyle w:val="Geenafstand"/>
        <w:rPr>
          <w:rFonts w:ascii="Verdana" w:hAnsi="Verdana"/>
          <w:i/>
          <w:iCs/>
          <w:sz w:val="18"/>
          <w:szCs w:val="18"/>
        </w:rPr>
      </w:pPr>
      <w:r w:rsidRPr="00901120">
        <w:rPr>
          <w:rFonts w:ascii="Verdana" w:hAnsi="Verdana"/>
          <w:i/>
          <w:iCs/>
          <w:sz w:val="18"/>
          <w:szCs w:val="18"/>
        </w:rPr>
        <w:lastRenderedPageBreak/>
        <w:t>6.Hoeveel mensen maken gebruik van kinderopvangtoeslag terwijl zij niet of niet volledig (fulltime) werken? Kunt u hiervan een overzicht vanaf 2015 geven en een toelichting hierop?</w:t>
      </w:r>
      <w:r w:rsidRPr="00901120">
        <w:rPr>
          <w:rFonts w:ascii="Verdana" w:hAnsi="Verdana"/>
          <w:i/>
          <w:iCs/>
          <w:sz w:val="18"/>
          <w:szCs w:val="18"/>
        </w:rPr>
        <w:br/>
      </w:r>
    </w:p>
    <w:p w:rsidR="003748C0" w:rsidP="003748C0" w:rsidRDefault="003748C0" w14:paraId="23587873" w14:textId="77777777">
      <w:pPr>
        <w:pStyle w:val="Geenafstand"/>
        <w:rPr>
          <w:rFonts w:ascii="Verdana" w:hAnsi="Verdana"/>
          <w:sz w:val="18"/>
          <w:szCs w:val="18"/>
        </w:rPr>
      </w:pPr>
      <w:r>
        <w:rPr>
          <w:rFonts w:ascii="Verdana" w:hAnsi="Verdana"/>
          <w:sz w:val="18"/>
          <w:szCs w:val="18"/>
        </w:rPr>
        <w:t>De meeste ouders die gebruik maken van kinderopvangtoeslag, hebben werk. De arbeidseis zoals omschreven in artikel 1.6 is namelijk een voorwaarde voor het recht op kinderopvangtoeslag. Soms kunnen ouders om bepaalde redenen niet voldoen aan de arbeidseis. Wanneer deze mensen niet in aanmerking zouden komen voor kinderopvangtoeslag, kan dit de arbeidsparticipatie nu of in de toekomst juist belemmeren. Daarom zijn in artikel 1.6 een aantal uitzonderingen op de arbeidseis opgenomen. De twee belangrijkste categorieën zijn 1) ouders die activiteiten uitvoeren die gericht zijn op toekomstig werk, bijvoorbeeld een opleiding of reïntegratietraject van het UWV, en 2) ouders die werken, maar een partner hebben die niet of tijdelijk niet kan voldoen aan de arbeidseis, bijvoorbeeld een partner met een Wlz-indicatie die langdurige zorg nodig heeft. Zij komen ook in aanmerking voor kinderopvangtoeslag. Zie ook de brief van 24 juni 2025 over de arbeidseis voor een uitgebreidere toelichting.</w:t>
      </w:r>
      <w:r>
        <w:rPr>
          <w:rStyle w:val="Voetnootmarkering"/>
          <w:rFonts w:ascii="Verdana" w:hAnsi="Verdana"/>
          <w:sz w:val="18"/>
          <w:szCs w:val="18"/>
        </w:rPr>
        <w:footnoteReference w:id="4"/>
      </w:r>
      <w:r>
        <w:rPr>
          <w:rFonts w:ascii="Verdana" w:hAnsi="Verdana"/>
          <w:sz w:val="18"/>
          <w:szCs w:val="18"/>
        </w:rPr>
        <w:t xml:space="preserve"> </w:t>
      </w:r>
    </w:p>
    <w:p w:rsidR="003748C0" w:rsidP="003748C0" w:rsidRDefault="003748C0" w14:paraId="1411A620" w14:textId="77777777">
      <w:pPr>
        <w:pStyle w:val="Geenafstand"/>
        <w:rPr>
          <w:rFonts w:ascii="Verdana" w:hAnsi="Verdana"/>
          <w:sz w:val="18"/>
          <w:szCs w:val="18"/>
        </w:rPr>
      </w:pPr>
    </w:p>
    <w:p w:rsidR="003748C0" w:rsidP="003748C0" w:rsidRDefault="003748C0" w14:paraId="041EE502" w14:textId="77777777">
      <w:pPr>
        <w:pStyle w:val="Geenafstand"/>
        <w:rPr>
          <w:rFonts w:ascii="Verdana" w:hAnsi="Verdana"/>
          <w:sz w:val="18"/>
          <w:szCs w:val="18"/>
        </w:rPr>
      </w:pPr>
      <w:bookmarkStart w:name="_Hlk238547971" w:id="1"/>
      <w:r>
        <w:rPr>
          <w:rFonts w:ascii="Verdana" w:hAnsi="Verdana"/>
          <w:sz w:val="18"/>
          <w:szCs w:val="18"/>
        </w:rPr>
        <w:t xml:space="preserve">Het is niet haalbaar gebleken om binnen kort tijdsbestek exact te becijferen hoeveel ouders afgelopen 10 jaar gebruik maakten van kinderopvangtoeslag dankzij een uitzondering op de arbeidseis. De reden is dat ouders die gebruik maken van een bepaalde uitzondering soms ook (gaan) werken, terwijl dit in het systeem dan niet altijd aangepast wordt. Zo is het bijvoorbeeld mogelijk dat een student naast diens studie gaat werken, maar in het systeem als student aangemerkt blijft. Het zou meer uitzoekwerk vergen om exact in beeld te brengen hoeveel ouders gebruik maken van kinderopvangtoeslag terwijl zij niet werken. Het is wel mogelijk om een indicatie te geven van het aantal ouders dat gebruik maakt van een uitzondering op de arbeidseis. Tussen 2015 en 2025 ging het om zo’n 10.000 ouders per jaar. Ongeveer 50% van deze ouders kwam in aanmerking voor kinderopvangtoeslag door een studie, 25% door een traject naar werk en 25% door het volgen van een inburgeringstraject. Ter indicatie, in totaal ontvingen tussen 2015 en 2025 jaarlijks tussen de ca. 500.000 en </w:t>
      </w:r>
      <w:bookmarkStart w:name="_Hlk238548097" w:id="2"/>
      <w:r>
        <w:rPr>
          <w:rFonts w:ascii="Verdana" w:hAnsi="Verdana"/>
          <w:sz w:val="18"/>
          <w:szCs w:val="18"/>
        </w:rPr>
        <w:t xml:space="preserve">720.000 huishoudens </w:t>
      </w:r>
      <w:bookmarkEnd w:id="2"/>
      <w:r>
        <w:rPr>
          <w:rFonts w:ascii="Verdana" w:hAnsi="Verdana"/>
          <w:sz w:val="18"/>
          <w:szCs w:val="18"/>
        </w:rPr>
        <w:t>kinderopvangtoeslag.</w:t>
      </w:r>
    </w:p>
    <w:bookmarkEnd w:id="1"/>
    <w:p w:rsidR="003748C0" w:rsidP="003748C0" w:rsidRDefault="003748C0" w14:paraId="304426DD" w14:textId="77777777">
      <w:pPr>
        <w:pStyle w:val="Geenafstand"/>
        <w:rPr>
          <w:rFonts w:ascii="Verdana" w:hAnsi="Verdana"/>
          <w:sz w:val="18"/>
          <w:szCs w:val="18"/>
        </w:rPr>
      </w:pPr>
    </w:p>
    <w:p w:rsidRPr="00901120" w:rsidR="003748C0" w:rsidP="003748C0" w:rsidRDefault="003748C0" w14:paraId="4193BB69" w14:textId="77777777">
      <w:pPr>
        <w:pStyle w:val="Geenafstand"/>
        <w:rPr>
          <w:rFonts w:ascii="Verdana" w:hAnsi="Verdana"/>
          <w:sz w:val="18"/>
          <w:szCs w:val="18"/>
        </w:rPr>
      </w:pPr>
    </w:p>
    <w:p w:rsidR="003748C0" w:rsidP="003748C0" w:rsidRDefault="003748C0" w14:paraId="5B897DCA" w14:textId="77777777">
      <w:pPr>
        <w:pStyle w:val="Geenafstand"/>
        <w:rPr>
          <w:rFonts w:ascii="Verdana" w:hAnsi="Verdana"/>
          <w:i/>
          <w:iCs/>
          <w:sz w:val="18"/>
          <w:szCs w:val="18"/>
        </w:rPr>
      </w:pPr>
      <w:r w:rsidRPr="00901120">
        <w:rPr>
          <w:rFonts w:ascii="Verdana" w:hAnsi="Verdana"/>
          <w:i/>
          <w:iCs/>
          <w:sz w:val="18"/>
          <w:szCs w:val="18"/>
        </w:rPr>
        <w:t>7.Bent u het ermee eens dat de kosten van de kinderopvangtoeslag leiden tot hogere loonkosten en dat het inhuren van werknemers daardoor duurder wordt voor werkgevers? Kunt u een toelichting geven op uw antwoord?</w:t>
      </w:r>
      <w:r w:rsidRPr="00901120">
        <w:rPr>
          <w:rFonts w:ascii="Verdana" w:hAnsi="Verdana"/>
          <w:i/>
          <w:iCs/>
          <w:sz w:val="18"/>
          <w:szCs w:val="18"/>
        </w:rPr>
        <w:br/>
      </w:r>
    </w:p>
    <w:p w:rsidR="003748C0" w:rsidP="003748C0" w:rsidRDefault="003748C0" w14:paraId="44AB95A2" w14:textId="77777777">
      <w:pPr>
        <w:pStyle w:val="Geenafstand"/>
        <w:rPr>
          <w:rFonts w:ascii="Verdana" w:hAnsi="Verdana"/>
          <w:sz w:val="18"/>
          <w:szCs w:val="18"/>
        </w:rPr>
      </w:pPr>
      <w:r>
        <w:rPr>
          <w:rFonts w:ascii="Verdana" w:hAnsi="Verdana"/>
          <w:sz w:val="18"/>
          <w:szCs w:val="18"/>
        </w:rPr>
        <w:t xml:space="preserve">Nee, ik ben het niet eens met deze redenering. Tot 2005 bestonden er verschillende voorzieningen voor kinderopvang. Sommige werkgevers organiseerden zelf kinderopvang voor hun werknemers. Daarnaast was er aanbod vanuit gemeenten en betaalden sommige ouders zelf alle kosten voor kinderopvang. Hierdoor waren ouders onder andere afhankelijk van waar zij woonden en wie hun werkgever was voor de eigen bijdrage die zij betaalden voor kinderopvang. Met de introductie van de kinderopvangtoeslag in 2005 kwam er voor het eerst één landelijke regeling, waar alle ouders onder dezelfde voorwaarden gebruik van konden maken. De kinderopvangtoeslag wordt deels gefinancierd uit collectieve middelen en deels uit werkgeversbijdragen. Het gaat dat om een opslag op de Aof-premie ter hoogte van 0,5% van de premieplichtige loonsom </w:t>
      </w:r>
      <w:r w:rsidRPr="00E14B35">
        <w:rPr>
          <w:rFonts w:ascii="Verdana" w:hAnsi="Verdana"/>
          <w:sz w:val="18"/>
          <w:szCs w:val="18"/>
        </w:rPr>
        <w:t>(zie het antwoord op vraag 4).</w:t>
      </w:r>
    </w:p>
    <w:p w:rsidR="003748C0" w:rsidP="003748C0" w:rsidRDefault="003748C0" w14:paraId="05984D3C" w14:textId="77777777">
      <w:pPr>
        <w:pStyle w:val="Geenafstand"/>
        <w:rPr>
          <w:rFonts w:ascii="Verdana" w:hAnsi="Verdana"/>
          <w:sz w:val="18"/>
          <w:szCs w:val="18"/>
        </w:rPr>
      </w:pPr>
    </w:p>
    <w:p w:rsidR="003748C0" w:rsidP="003748C0" w:rsidRDefault="003748C0" w14:paraId="3ED7A10F" w14:textId="77777777">
      <w:pPr>
        <w:pStyle w:val="Geenafstand"/>
        <w:rPr>
          <w:rFonts w:ascii="Verdana" w:hAnsi="Verdana"/>
          <w:sz w:val="18"/>
          <w:szCs w:val="18"/>
        </w:rPr>
      </w:pPr>
      <w:r>
        <w:rPr>
          <w:rFonts w:ascii="Verdana" w:hAnsi="Verdana"/>
          <w:sz w:val="18"/>
          <w:szCs w:val="18"/>
        </w:rPr>
        <w:t xml:space="preserve">De kinderopvangtoeslag stelt ouders in staat om de zorg voor hun kinderen te combineren met werk en bevordert op deze manier de arbeidsparticipatie. De werkgever kan dus beschikken over werknemers dankzij de kinderopvangtoeslag. </w:t>
      </w:r>
    </w:p>
    <w:p w:rsidR="003748C0" w:rsidP="003748C0" w:rsidRDefault="003748C0" w14:paraId="714A8102" w14:textId="77777777">
      <w:pPr>
        <w:pStyle w:val="Geenafstand"/>
        <w:rPr>
          <w:rFonts w:ascii="Verdana" w:hAnsi="Verdana"/>
          <w:sz w:val="18"/>
          <w:szCs w:val="18"/>
        </w:rPr>
      </w:pPr>
    </w:p>
    <w:p w:rsidRPr="00901120" w:rsidR="003748C0" w:rsidP="003748C0" w:rsidRDefault="003748C0" w14:paraId="52440B48" w14:textId="77777777">
      <w:pPr>
        <w:pStyle w:val="Geenafstand"/>
        <w:rPr>
          <w:rFonts w:ascii="Verdana" w:hAnsi="Verdana"/>
          <w:sz w:val="18"/>
          <w:szCs w:val="18"/>
        </w:rPr>
      </w:pPr>
    </w:p>
    <w:p w:rsidR="003748C0" w:rsidP="003748C0" w:rsidRDefault="003748C0" w14:paraId="1771B62E" w14:textId="77777777">
      <w:pPr>
        <w:pStyle w:val="Geenafstand"/>
        <w:rPr>
          <w:rFonts w:ascii="Verdana" w:hAnsi="Verdana"/>
          <w:sz w:val="18"/>
          <w:szCs w:val="18"/>
        </w:rPr>
      </w:pPr>
      <w:r w:rsidRPr="00901120">
        <w:rPr>
          <w:rFonts w:ascii="Verdana" w:hAnsi="Verdana"/>
          <w:i/>
          <w:iCs/>
          <w:sz w:val="18"/>
          <w:szCs w:val="18"/>
        </w:rPr>
        <w:t>8.Welke inkomensgroepen ontvangen kinderopvangtoeslag? Kunt u een overzicht verstrekken en daarbij onderscheid maken tussen verschillende inkomensgroepen (minimumloonverdieners, één  keer modaal, 1,5 keer modaal, twee keer modaal, 2,5 keer modaal, drie keer modaal, vier keer modaal, vijf keer modaal, zes keer modaal of meer), maar daarin ook verschillende huishoudtypen (huurders/woningeigenaren, alleenstaand/gehuwd, fulltime/parttime werkend) opnemen? Kunt u tevens een toelichting geven op uw antwoord?</w:t>
      </w:r>
    </w:p>
    <w:p w:rsidR="003748C0" w:rsidP="003748C0" w:rsidRDefault="003748C0" w14:paraId="0066C135" w14:textId="77777777">
      <w:pPr>
        <w:pStyle w:val="Geenafstand"/>
        <w:rPr>
          <w:rFonts w:ascii="Verdana" w:hAnsi="Verdana"/>
          <w:sz w:val="18"/>
          <w:szCs w:val="18"/>
        </w:rPr>
      </w:pPr>
    </w:p>
    <w:p w:rsidR="003748C0" w:rsidP="003748C0" w:rsidRDefault="003748C0" w14:paraId="010EAE1A" w14:textId="77777777">
      <w:pPr>
        <w:pStyle w:val="Geenafstand"/>
        <w:rPr>
          <w:rFonts w:ascii="Verdana" w:hAnsi="Verdana"/>
          <w:sz w:val="18"/>
          <w:szCs w:val="18"/>
        </w:rPr>
      </w:pPr>
      <w:r>
        <w:rPr>
          <w:rFonts w:ascii="Verdana" w:hAnsi="Verdana"/>
          <w:sz w:val="18"/>
          <w:szCs w:val="18"/>
        </w:rPr>
        <w:t xml:space="preserve">De beantwoording van deze vraag is gebaseerd op </w:t>
      </w:r>
      <w:r w:rsidRPr="00167387">
        <w:rPr>
          <w:rFonts w:ascii="Verdana" w:hAnsi="Verdana"/>
          <w:sz w:val="18"/>
          <w:szCs w:val="18"/>
        </w:rPr>
        <w:t xml:space="preserve">gegevens </w:t>
      </w:r>
      <w:r>
        <w:rPr>
          <w:rFonts w:ascii="Verdana" w:hAnsi="Verdana"/>
          <w:sz w:val="18"/>
          <w:szCs w:val="18"/>
        </w:rPr>
        <w:t xml:space="preserve">van Kinderopvangtoeslag die het Ministerie van SZW van Dienst Toeslagen ontvangt. Daarin kan enkel onderscheid worden gemaakt tussen de huishoudtypen alleenstaanden en paren. Onderstaande tabel 1 toont het aantal huishoudens in elke categorie dat in 2025 kinderopvangtoeslag heeft ontvangen. Vanwege de </w:t>
      </w:r>
      <w:r>
        <w:rPr>
          <w:rFonts w:ascii="Verdana" w:hAnsi="Verdana"/>
          <w:sz w:val="18"/>
          <w:szCs w:val="18"/>
        </w:rPr>
        <w:lastRenderedPageBreak/>
        <w:t>geringe aantallen voor alleenstaanden zijn de hoogste inkomensgroepen samengevoegd tot ‘3 x modaal en hoger’.</w:t>
      </w:r>
    </w:p>
    <w:p w:rsidR="003748C0" w:rsidP="003748C0" w:rsidRDefault="003748C0" w14:paraId="2B39D67E" w14:textId="77777777">
      <w:pPr>
        <w:pStyle w:val="Geenafstand"/>
        <w:rPr>
          <w:rFonts w:ascii="Verdana" w:hAnsi="Verdana"/>
          <w:sz w:val="18"/>
          <w:szCs w:val="18"/>
        </w:rPr>
      </w:pPr>
    </w:p>
    <w:p w:rsidRPr="00616611" w:rsidR="003748C0" w:rsidP="003748C0" w:rsidRDefault="003748C0" w14:paraId="64E666B7" w14:textId="77777777">
      <w:pPr>
        <w:pStyle w:val="Geenafstand"/>
        <w:rPr>
          <w:rFonts w:ascii="Verdana" w:hAnsi="Verdana"/>
          <w:sz w:val="18"/>
          <w:szCs w:val="18"/>
        </w:rPr>
      </w:pPr>
      <w:r>
        <w:rPr>
          <w:rFonts w:ascii="Verdana" w:hAnsi="Verdana"/>
          <w:sz w:val="18"/>
          <w:szCs w:val="18"/>
        </w:rPr>
        <w:t>Tabel 1: a</w:t>
      </w:r>
      <w:r w:rsidRPr="00616611">
        <w:rPr>
          <w:rFonts w:ascii="Verdana" w:hAnsi="Verdana"/>
          <w:sz w:val="18"/>
          <w:szCs w:val="18"/>
        </w:rPr>
        <w:t>antal huishuishoudens met kinderopvangtoeslag in 2025, uitgesplitst naar inkomensgroep en huishoudtype (paren en alleenstaanden).</w:t>
      </w:r>
      <w:r>
        <w:rPr>
          <w:rFonts w:ascii="Verdana" w:hAnsi="Verdana"/>
          <w:sz w:val="18"/>
          <w:szCs w:val="18"/>
        </w:rPr>
        <w:t xml:space="preserve"> Het modaal inkomen in 2025 is € 46.500.</w:t>
      </w:r>
    </w:p>
    <w:p w:rsidR="003748C0" w:rsidP="003748C0" w:rsidRDefault="003748C0" w14:paraId="75FF6FD1" w14:textId="77777777">
      <w:pPr>
        <w:pStyle w:val="Geenafstand"/>
        <w:rPr>
          <w:rFonts w:ascii="Verdana" w:hAnsi="Verdana"/>
          <w:sz w:val="18"/>
          <w:szCs w:val="18"/>
        </w:rPr>
      </w:pPr>
    </w:p>
    <w:tbl>
      <w:tblPr>
        <w:tblW w:w="0" w:type="auto"/>
        <w:tblCellMar>
          <w:left w:w="70" w:type="dxa"/>
          <w:right w:w="70" w:type="dxa"/>
        </w:tblCellMar>
        <w:tblLook w:val="04A0" w:firstRow="1" w:lastRow="0" w:firstColumn="1" w:lastColumn="0" w:noHBand="0" w:noVBand="1"/>
      </w:tblPr>
      <w:tblGrid>
        <w:gridCol w:w="2832"/>
        <w:gridCol w:w="1644"/>
        <w:gridCol w:w="1702"/>
        <w:gridCol w:w="1644"/>
      </w:tblGrid>
      <w:tr w:rsidRPr="00E268AD" w:rsidR="003748C0" w:rsidTr="00F16B94" w14:paraId="0C4B77CA" w14:textId="77777777">
        <w:trPr>
          <w:trHeight w:val="290"/>
        </w:trPr>
        <w:tc>
          <w:tcPr>
            <w:tcW w:w="2832" w:type="dxa"/>
            <w:tcBorders>
              <w:top w:val="single" w:color="auto" w:sz="4" w:space="0"/>
              <w:left w:val="single" w:color="auto" w:sz="4" w:space="0"/>
              <w:bottom w:val="single" w:color="auto" w:sz="4" w:space="0"/>
              <w:right w:val="single" w:color="auto" w:sz="4" w:space="0"/>
            </w:tcBorders>
            <w:noWrap/>
            <w:vAlign w:val="center"/>
            <w:hideMark/>
          </w:tcPr>
          <w:p w:rsidRPr="00E268AD" w:rsidR="003748C0" w:rsidP="00F16B94" w:rsidRDefault="003748C0" w14:paraId="63718FFF" w14:textId="77777777">
            <w:pPr>
              <w:spacing w:after="0" w:line="240" w:lineRule="auto"/>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 </w:t>
            </w:r>
          </w:p>
        </w:tc>
        <w:tc>
          <w:tcPr>
            <w:tcW w:w="1644" w:type="dxa"/>
            <w:tcBorders>
              <w:top w:val="single" w:color="auto" w:sz="4" w:space="0"/>
              <w:left w:val="nil"/>
              <w:bottom w:val="single" w:color="auto" w:sz="4" w:space="0"/>
              <w:right w:val="single" w:color="auto" w:sz="4" w:space="0"/>
            </w:tcBorders>
            <w:noWrap/>
            <w:vAlign w:val="center"/>
            <w:hideMark/>
          </w:tcPr>
          <w:p w:rsidRPr="00E268AD" w:rsidR="003748C0" w:rsidP="00F16B94" w:rsidRDefault="003748C0" w14:paraId="16AE1935" w14:textId="77777777">
            <w:pPr>
              <w:spacing w:after="0" w:line="240" w:lineRule="auto"/>
              <w:jc w:val="center"/>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Paren</w:t>
            </w:r>
          </w:p>
        </w:tc>
        <w:tc>
          <w:tcPr>
            <w:tcW w:w="1644" w:type="dxa"/>
            <w:tcBorders>
              <w:top w:val="single" w:color="auto" w:sz="4" w:space="0"/>
              <w:left w:val="nil"/>
              <w:bottom w:val="single" w:color="auto" w:sz="4" w:space="0"/>
              <w:right w:val="single" w:color="auto" w:sz="4" w:space="0"/>
            </w:tcBorders>
            <w:noWrap/>
            <w:vAlign w:val="center"/>
            <w:hideMark/>
          </w:tcPr>
          <w:p w:rsidRPr="00E268AD" w:rsidR="003748C0" w:rsidP="00F16B94" w:rsidRDefault="003748C0" w14:paraId="3009CB7D" w14:textId="77777777">
            <w:pPr>
              <w:spacing w:after="0" w:line="240" w:lineRule="auto"/>
              <w:jc w:val="center"/>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Alleenstaanden</w:t>
            </w:r>
          </w:p>
        </w:tc>
        <w:tc>
          <w:tcPr>
            <w:tcW w:w="1644" w:type="dxa"/>
            <w:tcBorders>
              <w:top w:val="single" w:color="auto" w:sz="4" w:space="0"/>
              <w:left w:val="nil"/>
              <w:bottom w:val="single" w:color="auto" w:sz="4" w:space="0"/>
              <w:right w:val="single" w:color="auto" w:sz="4" w:space="0"/>
            </w:tcBorders>
            <w:noWrap/>
            <w:vAlign w:val="center"/>
            <w:hideMark/>
          </w:tcPr>
          <w:p w:rsidRPr="00E268AD" w:rsidR="003748C0" w:rsidP="00F16B94" w:rsidRDefault="003748C0" w14:paraId="02D04DF6" w14:textId="77777777">
            <w:pPr>
              <w:spacing w:after="0" w:line="240" w:lineRule="auto"/>
              <w:jc w:val="center"/>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Totaal</w:t>
            </w:r>
          </w:p>
        </w:tc>
      </w:tr>
      <w:tr w:rsidRPr="00E268AD" w:rsidR="003748C0" w:rsidTr="00F16B94" w14:paraId="13D0890B" w14:textId="77777777">
        <w:trPr>
          <w:trHeight w:val="290"/>
        </w:trPr>
        <w:tc>
          <w:tcPr>
            <w:tcW w:w="2832" w:type="dxa"/>
            <w:tcBorders>
              <w:top w:val="nil"/>
              <w:left w:val="single" w:color="auto" w:sz="4" w:space="0"/>
              <w:bottom w:val="nil"/>
              <w:right w:val="single" w:color="auto" w:sz="4" w:space="0"/>
            </w:tcBorders>
            <w:noWrap/>
            <w:vAlign w:val="center"/>
            <w:hideMark/>
          </w:tcPr>
          <w:p w:rsidRPr="00E268AD" w:rsidR="003748C0" w:rsidP="00F16B94" w:rsidRDefault="003748C0" w14:paraId="463F344F"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Tot 100% Wml</w:t>
            </w:r>
          </w:p>
        </w:tc>
        <w:tc>
          <w:tcPr>
            <w:tcW w:w="1644" w:type="dxa"/>
            <w:tcBorders>
              <w:top w:val="nil"/>
              <w:left w:val="nil"/>
              <w:bottom w:val="nil"/>
              <w:right w:val="single" w:color="auto" w:sz="4" w:space="0"/>
            </w:tcBorders>
            <w:noWrap/>
            <w:vAlign w:val="center"/>
            <w:hideMark/>
          </w:tcPr>
          <w:p w:rsidRPr="00E268AD" w:rsidR="003748C0" w:rsidP="00F16B94" w:rsidRDefault="003748C0" w14:paraId="01C6A6D1"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5.700</w:t>
            </w:r>
          </w:p>
        </w:tc>
        <w:tc>
          <w:tcPr>
            <w:tcW w:w="1644" w:type="dxa"/>
            <w:tcBorders>
              <w:top w:val="nil"/>
              <w:left w:val="nil"/>
              <w:bottom w:val="nil"/>
              <w:right w:val="single" w:color="auto" w:sz="4" w:space="0"/>
            </w:tcBorders>
            <w:noWrap/>
            <w:vAlign w:val="center"/>
            <w:hideMark/>
          </w:tcPr>
          <w:p w:rsidRPr="00E268AD" w:rsidR="003748C0" w:rsidP="00F16B94" w:rsidRDefault="003748C0" w14:paraId="3CFA483D"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31.700</w:t>
            </w:r>
          </w:p>
        </w:tc>
        <w:tc>
          <w:tcPr>
            <w:tcW w:w="1644" w:type="dxa"/>
            <w:tcBorders>
              <w:top w:val="nil"/>
              <w:left w:val="nil"/>
              <w:bottom w:val="nil"/>
              <w:right w:val="single" w:color="auto" w:sz="4" w:space="0"/>
            </w:tcBorders>
            <w:noWrap/>
            <w:vAlign w:val="center"/>
            <w:hideMark/>
          </w:tcPr>
          <w:p w:rsidRPr="00E268AD" w:rsidR="003748C0" w:rsidP="00F16B94" w:rsidRDefault="003748C0" w14:paraId="68B21B5C"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37.300</w:t>
            </w:r>
          </w:p>
        </w:tc>
      </w:tr>
      <w:tr w:rsidRPr="00E268AD" w:rsidR="003748C0" w:rsidTr="00F16B94" w14:paraId="6F386496" w14:textId="77777777">
        <w:trPr>
          <w:trHeight w:val="290"/>
        </w:trPr>
        <w:tc>
          <w:tcPr>
            <w:tcW w:w="2832" w:type="dxa"/>
            <w:tcBorders>
              <w:top w:val="nil"/>
              <w:left w:val="single" w:color="auto" w:sz="4" w:space="0"/>
              <w:bottom w:val="nil"/>
              <w:right w:val="single" w:color="auto" w:sz="4" w:space="0"/>
            </w:tcBorders>
            <w:noWrap/>
            <w:vAlign w:val="center"/>
            <w:hideMark/>
          </w:tcPr>
          <w:p w:rsidRPr="00E268AD" w:rsidR="003748C0" w:rsidP="00F16B94" w:rsidRDefault="003748C0" w14:paraId="42261EB2"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100% Wml tot modaal</w:t>
            </w:r>
          </w:p>
        </w:tc>
        <w:tc>
          <w:tcPr>
            <w:tcW w:w="1644" w:type="dxa"/>
            <w:tcBorders>
              <w:top w:val="nil"/>
              <w:left w:val="nil"/>
              <w:bottom w:val="nil"/>
              <w:right w:val="single" w:color="auto" w:sz="4" w:space="0"/>
            </w:tcBorders>
            <w:noWrap/>
            <w:vAlign w:val="center"/>
            <w:hideMark/>
          </w:tcPr>
          <w:p w:rsidRPr="00E268AD" w:rsidR="003748C0" w:rsidP="00F16B94" w:rsidRDefault="003748C0" w14:paraId="4B74793E"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10.500</w:t>
            </w:r>
          </w:p>
        </w:tc>
        <w:tc>
          <w:tcPr>
            <w:tcW w:w="1644" w:type="dxa"/>
            <w:tcBorders>
              <w:top w:val="nil"/>
              <w:left w:val="nil"/>
              <w:bottom w:val="nil"/>
              <w:right w:val="single" w:color="auto" w:sz="4" w:space="0"/>
            </w:tcBorders>
            <w:noWrap/>
            <w:vAlign w:val="center"/>
            <w:hideMark/>
          </w:tcPr>
          <w:p w:rsidRPr="00E268AD" w:rsidR="003748C0" w:rsidP="00F16B94" w:rsidRDefault="003748C0" w14:paraId="4E5C0C8D"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28.100</w:t>
            </w:r>
          </w:p>
        </w:tc>
        <w:tc>
          <w:tcPr>
            <w:tcW w:w="1644" w:type="dxa"/>
            <w:tcBorders>
              <w:top w:val="nil"/>
              <w:left w:val="nil"/>
              <w:bottom w:val="nil"/>
              <w:right w:val="single" w:color="auto" w:sz="4" w:space="0"/>
            </w:tcBorders>
            <w:noWrap/>
            <w:vAlign w:val="center"/>
            <w:hideMark/>
          </w:tcPr>
          <w:p w:rsidRPr="00E268AD" w:rsidR="003748C0" w:rsidP="00F16B94" w:rsidRDefault="003748C0" w14:paraId="3C5A4C93"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38.600</w:t>
            </w:r>
          </w:p>
        </w:tc>
      </w:tr>
      <w:tr w:rsidRPr="00E268AD" w:rsidR="003748C0" w:rsidTr="00F16B94" w14:paraId="26A5C364" w14:textId="77777777">
        <w:trPr>
          <w:trHeight w:val="290"/>
        </w:trPr>
        <w:tc>
          <w:tcPr>
            <w:tcW w:w="2832" w:type="dxa"/>
            <w:tcBorders>
              <w:top w:val="nil"/>
              <w:left w:val="single" w:color="auto" w:sz="4" w:space="0"/>
              <w:bottom w:val="nil"/>
              <w:right w:val="single" w:color="auto" w:sz="4" w:space="0"/>
            </w:tcBorders>
            <w:noWrap/>
            <w:vAlign w:val="center"/>
            <w:hideMark/>
          </w:tcPr>
          <w:p w:rsidRPr="00E268AD" w:rsidR="003748C0" w:rsidP="00F16B94" w:rsidRDefault="003748C0" w14:paraId="6177CFBE"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Modaal tot 1,5 x modaal</w:t>
            </w:r>
          </w:p>
        </w:tc>
        <w:tc>
          <w:tcPr>
            <w:tcW w:w="1644" w:type="dxa"/>
            <w:tcBorders>
              <w:top w:val="nil"/>
              <w:left w:val="nil"/>
              <w:bottom w:val="nil"/>
              <w:right w:val="single" w:color="auto" w:sz="4" w:space="0"/>
            </w:tcBorders>
            <w:noWrap/>
            <w:vAlign w:val="center"/>
            <w:hideMark/>
          </w:tcPr>
          <w:p w:rsidRPr="00E268AD" w:rsidR="003748C0" w:rsidP="00F16B94" w:rsidRDefault="003748C0" w14:paraId="4C69929A"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53.200</w:t>
            </w:r>
          </w:p>
        </w:tc>
        <w:tc>
          <w:tcPr>
            <w:tcW w:w="1644" w:type="dxa"/>
            <w:tcBorders>
              <w:top w:val="nil"/>
              <w:left w:val="nil"/>
              <w:bottom w:val="nil"/>
              <w:right w:val="single" w:color="auto" w:sz="4" w:space="0"/>
            </w:tcBorders>
            <w:noWrap/>
            <w:vAlign w:val="center"/>
            <w:hideMark/>
          </w:tcPr>
          <w:p w:rsidRPr="00E268AD" w:rsidR="003748C0" w:rsidP="00F16B94" w:rsidRDefault="003748C0" w14:paraId="0929EAFA"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17.100</w:t>
            </w:r>
          </w:p>
        </w:tc>
        <w:tc>
          <w:tcPr>
            <w:tcW w:w="1644" w:type="dxa"/>
            <w:tcBorders>
              <w:top w:val="nil"/>
              <w:left w:val="nil"/>
              <w:bottom w:val="nil"/>
              <w:right w:val="single" w:color="auto" w:sz="4" w:space="0"/>
            </w:tcBorders>
            <w:noWrap/>
            <w:vAlign w:val="center"/>
            <w:hideMark/>
          </w:tcPr>
          <w:p w:rsidRPr="00E268AD" w:rsidR="003748C0" w:rsidP="00F16B94" w:rsidRDefault="003748C0" w14:paraId="282821CF"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70.300</w:t>
            </w:r>
          </w:p>
        </w:tc>
      </w:tr>
      <w:tr w:rsidRPr="00E268AD" w:rsidR="003748C0" w:rsidTr="00F16B94" w14:paraId="7FE0060A" w14:textId="77777777">
        <w:trPr>
          <w:trHeight w:val="290"/>
        </w:trPr>
        <w:tc>
          <w:tcPr>
            <w:tcW w:w="2832" w:type="dxa"/>
            <w:tcBorders>
              <w:top w:val="nil"/>
              <w:left w:val="single" w:color="auto" w:sz="4" w:space="0"/>
              <w:bottom w:val="nil"/>
              <w:right w:val="single" w:color="auto" w:sz="4" w:space="0"/>
            </w:tcBorders>
            <w:noWrap/>
            <w:vAlign w:val="center"/>
            <w:hideMark/>
          </w:tcPr>
          <w:p w:rsidRPr="00E268AD" w:rsidR="003748C0" w:rsidP="00F16B94" w:rsidRDefault="003748C0" w14:paraId="404587DA"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1,5 x modaal tot 2 x modaal</w:t>
            </w:r>
          </w:p>
        </w:tc>
        <w:tc>
          <w:tcPr>
            <w:tcW w:w="1644" w:type="dxa"/>
            <w:tcBorders>
              <w:top w:val="nil"/>
              <w:left w:val="nil"/>
              <w:bottom w:val="nil"/>
              <w:right w:val="single" w:color="auto" w:sz="4" w:space="0"/>
            </w:tcBorders>
            <w:noWrap/>
            <w:vAlign w:val="center"/>
            <w:hideMark/>
          </w:tcPr>
          <w:p w:rsidRPr="00E268AD" w:rsidR="003748C0" w:rsidP="00F16B94" w:rsidRDefault="003748C0" w14:paraId="46799CB2"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125.800</w:t>
            </w:r>
          </w:p>
        </w:tc>
        <w:tc>
          <w:tcPr>
            <w:tcW w:w="1644" w:type="dxa"/>
            <w:tcBorders>
              <w:top w:val="nil"/>
              <w:left w:val="nil"/>
              <w:bottom w:val="nil"/>
              <w:right w:val="single" w:color="auto" w:sz="4" w:space="0"/>
            </w:tcBorders>
            <w:noWrap/>
            <w:vAlign w:val="center"/>
            <w:hideMark/>
          </w:tcPr>
          <w:p w:rsidRPr="00E268AD" w:rsidR="003748C0" w:rsidP="00F16B94" w:rsidRDefault="003748C0" w14:paraId="427D4516"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6.800</w:t>
            </w:r>
          </w:p>
        </w:tc>
        <w:tc>
          <w:tcPr>
            <w:tcW w:w="1644" w:type="dxa"/>
            <w:tcBorders>
              <w:top w:val="nil"/>
              <w:left w:val="nil"/>
              <w:bottom w:val="nil"/>
              <w:right w:val="single" w:color="auto" w:sz="4" w:space="0"/>
            </w:tcBorders>
            <w:noWrap/>
            <w:vAlign w:val="center"/>
            <w:hideMark/>
          </w:tcPr>
          <w:p w:rsidRPr="00E268AD" w:rsidR="003748C0" w:rsidP="00F16B94" w:rsidRDefault="003748C0" w14:paraId="5AD03076"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132.500</w:t>
            </w:r>
          </w:p>
        </w:tc>
      </w:tr>
      <w:tr w:rsidRPr="00E268AD" w:rsidR="003748C0" w:rsidTr="00F16B94" w14:paraId="117AA5EC" w14:textId="77777777">
        <w:trPr>
          <w:trHeight w:val="290"/>
        </w:trPr>
        <w:tc>
          <w:tcPr>
            <w:tcW w:w="2832" w:type="dxa"/>
            <w:tcBorders>
              <w:top w:val="nil"/>
              <w:left w:val="single" w:color="auto" w:sz="4" w:space="0"/>
              <w:bottom w:val="nil"/>
              <w:right w:val="single" w:color="auto" w:sz="4" w:space="0"/>
            </w:tcBorders>
            <w:noWrap/>
            <w:vAlign w:val="center"/>
            <w:hideMark/>
          </w:tcPr>
          <w:p w:rsidRPr="00E268AD" w:rsidR="003748C0" w:rsidP="00F16B94" w:rsidRDefault="003748C0" w14:paraId="5054B268"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2 x modaal tot 2,5 x modaal</w:t>
            </w:r>
          </w:p>
        </w:tc>
        <w:tc>
          <w:tcPr>
            <w:tcW w:w="1644" w:type="dxa"/>
            <w:tcBorders>
              <w:top w:val="nil"/>
              <w:left w:val="nil"/>
              <w:bottom w:val="nil"/>
              <w:right w:val="single" w:color="auto" w:sz="4" w:space="0"/>
            </w:tcBorders>
            <w:noWrap/>
            <w:vAlign w:val="center"/>
            <w:hideMark/>
          </w:tcPr>
          <w:p w:rsidRPr="00E268AD" w:rsidR="003748C0" w:rsidP="00F16B94" w:rsidRDefault="003748C0" w14:paraId="5C4D1486"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120.900</w:t>
            </w:r>
          </w:p>
        </w:tc>
        <w:tc>
          <w:tcPr>
            <w:tcW w:w="1644" w:type="dxa"/>
            <w:tcBorders>
              <w:top w:val="nil"/>
              <w:left w:val="nil"/>
              <w:bottom w:val="nil"/>
              <w:right w:val="single" w:color="auto" w:sz="4" w:space="0"/>
            </w:tcBorders>
            <w:noWrap/>
            <w:vAlign w:val="center"/>
            <w:hideMark/>
          </w:tcPr>
          <w:p w:rsidRPr="00E268AD" w:rsidR="003748C0" w:rsidP="00F16B94" w:rsidRDefault="003748C0" w14:paraId="1419433B"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2.200</w:t>
            </w:r>
          </w:p>
        </w:tc>
        <w:tc>
          <w:tcPr>
            <w:tcW w:w="1644" w:type="dxa"/>
            <w:tcBorders>
              <w:top w:val="nil"/>
              <w:left w:val="nil"/>
              <w:bottom w:val="nil"/>
              <w:right w:val="single" w:color="auto" w:sz="4" w:space="0"/>
            </w:tcBorders>
            <w:noWrap/>
            <w:vAlign w:val="center"/>
            <w:hideMark/>
          </w:tcPr>
          <w:p w:rsidRPr="00E268AD" w:rsidR="003748C0" w:rsidP="00F16B94" w:rsidRDefault="003748C0" w14:paraId="2834ED26"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123.100</w:t>
            </w:r>
          </w:p>
        </w:tc>
      </w:tr>
      <w:tr w:rsidRPr="00E268AD" w:rsidR="003748C0" w:rsidTr="00F16B94" w14:paraId="38C2DF0A" w14:textId="77777777">
        <w:trPr>
          <w:trHeight w:val="290"/>
        </w:trPr>
        <w:tc>
          <w:tcPr>
            <w:tcW w:w="2832" w:type="dxa"/>
            <w:tcBorders>
              <w:top w:val="nil"/>
              <w:left w:val="single" w:color="auto" w:sz="4" w:space="0"/>
              <w:bottom w:val="nil"/>
              <w:right w:val="single" w:color="auto" w:sz="4" w:space="0"/>
            </w:tcBorders>
            <w:noWrap/>
            <w:vAlign w:val="center"/>
            <w:hideMark/>
          </w:tcPr>
          <w:p w:rsidRPr="00E268AD" w:rsidR="003748C0" w:rsidP="00F16B94" w:rsidRDefault="003748C0" w14:paraId="293BFD6B"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2,5 x modaal tot 3 x modaal</w:t>
            </w:r>
          </w:p>
        </w:tc>
        <w:tc>
          <w:tcPr>
            <w:tcW w:w="1644" w:type="dxa"/>
            <w:tcBorders>
              <w:top w:val="nil"/>
              <w:left w:val="nil"/>
              <w:bottom w:val="nil"/>
              <w:right w:val="single" w:color="auto" w:sz="4" w:space="0"/>
            </w:tcBorders>
            <w:noWrap/>
            <w:vAlign w:val="center"/>
            <w:hideMark/>
          </w:tcPr>
          <w:p w:rsidRPr="00E268AD" w:rsidR="003748C0" w:rsidP="00F16B94" w:rsidRDefault="003748C0" w14:paraId="7D75AB90"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82.300</w:t>
            </w:r>
          </w:p>
        </w:tc>
        <w:tc>
          <w:tcPr>
            <w:tcW w:w="1644" w:type="dxa"/>
            <w:tcBorders>
              <w:top w:val="nil"/>
              <w:left w:val="nil"/>
              <w:bottom w:val="nil"/>
              <w:right w:val="single" w:color="auto" w:sz="4" w:space="0"/>
            </w:tcBorders>
            <w:noWrap/>
            <w:vAlign w:val="center"/>
            <w:hideMark/>
          </w:tcPr>
          <w:p w:rsidRPr="00E268AD" w:rsidR="003748C0" w:rsidP="00F16B94" w:rsidRDefault="003748C0" w14:paraId="2643AE46"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800</w:t>
            </w:r>
          </w:p>
        </w:tc>
        <w:tc>
          <w:tcPr>
            <w:tcW w:w="1644" w:type="dxa"/>
            <w:tcBorders>
              <w:top w:val="nil"/>
              <w:left w:val="nil"/>
              <w:bottom w:val="nil"/>
              <w:right w:val="single" w:color="auto" w:sz="4" w:space="0"/>
            </w:tcBorders>
            <w:noWrap/>
            <w:vAlign w:val="center"/>
            <w:hideMark/>
          </w:tcPr>
          <w:p w:rsidRPr="00E268AD" w:rsidR="003748C0" w:rsidP="00F16B94" w:rsidRDefault="003748C0" w14:paraId="0D8169C2"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83.100</w:t>
            </w:r>
          </w:p>
        </w:tc>
      </w:tr>
      <w:tr w:rsidRPr="00E268AD" w:rsidR="003748C0" w:rsidTr="00F16B94" w14:paraId="3CAF1AC6" w14:textId="77777777">
        <w:trPr>
          <w:trHeight w:val="290"/>
        </w:trPr>
        <w:tc>
          <w:tcPr>
            <w:tcW w:w="2832" w:type="dxa"/>
            <w:tcBorders>
              <w:top w:val="nil"/>
              <w:left w:val="single" w:color="auto" w:sz="4" w:space="0"/>
              <w:bottom w:val="nil"/>
              <w:right w:val="single" w:color="auto" w:sz="4" w:space="0"/>
            </w:tcBorders>
            <w:noWrap/>
            <w:vAlign w:val="center"/>
            <w:hideMark/>
          </w:tcPr>
          <w:p w:rsidRPr="00E268AD" w:rsidR="003748C0" w:rsidP="00F16B94" w:rsidRDefault="003748C0" w14:paraId="26F358E1"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3 x modaal en hoger</w:t>
            </w:r>
          </w:p>
        </w:tc>
        <w:tc>
          <w:tcPr>
            <w:tcW w:w="1644" w:type="dxa"/>
            <w:tcBorders>
              <w:top w:val="nil"/>
              <w:left w:val="nil"/>
              <w:bottom w:val="nil"/>
              <w:right w:val="single" w:color="auto" w:sz="4" w:space="0"/>
            </w:tcBorders>
            <w:noWrap/>
            <w:vAlign w:val="center"/>
            <w:hideMark/>
          </w:tcPr>
          <w:p w:rsidRPr="00E268AD" w:rsidR="003748C0" w:rsidP="00F16B94" w:rsidRDefault="003748C0" w14:paraId="60A565D6"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135.200</w:t>
            </w:r>
          </w:p>
        </w:tc>
        <w:tc>
          <w:tcPr>
            <w:tcW w:w="1644" w:type="dxa"/>
            <w:tcBorders>
              <w:top w:val="nil"/>
              <w:left w:val="nil"/>
              <w:bottom w:val="nil"/>
              <w:right w:val="single" w:color="auto" w:sz="4" w:space="0"/>
            </w:tcBorders>
            <w:noWrap/>
            <w:vAlign w:val="center"/>
            <w:hideMark/>
          </w:tcPr>
          <w:p w:rsidRPr="00E268AD" w:rsidR="003748C0" w:rsidP="00F16B94" w:rsidRDefault="003748C0" w14:paraId="4440A220"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1.000</w:t>
            </w:r>
          </w:p>
        </w:tc>
        <w:tc>
          <w:tcPr>
            <w:tcW w:w="1644" w:type="dxa"/>
            <w:tcBorders>
              <w:top w:val="nil"/>
              <w:left w:val="nil"/>
              <w:bottom w:val="nil"/>
              <w:right w:val="single" w:color="auto" w:sz="4" w:space="0"/>
            </w:tcBorders>
            <w:noWrap/>
            <w:vAlign w:val="center"/>
            <w:hideMark/>
          </w:tcPr>
          <w:p w:rsidRPr="00E268AD" w:rsidR="003748C0" w:rsidP="00F16B94" w:rsidRDefault="003748C0" w14:paraId="7E98883A"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136.200</w:t>
            </w:r>
          </w:p>
        </w:tc>
      </w:tr>
      <w:tr w:rsidRPr="00E268AD" w:rsidR="003748C0" w:rsidTr="00F16B94" w14:paraId="4437D44F" w14:textId="77777777">
        <w:trPr>
          <w:trHeight w:val="290"/>
        </w:trPr>
        <w:tc>
          <w:tcPr>
            <w:tcW w:w="2832" w:type="dxa"/>
            <w:tcBorders>
              <w:top w:val="single" w:color="auto" w:sz="4" w:space="0"/>
              <w:left w:val="single" w:color="auto" w:sz="4" w:space="0"/>
              <w:bottom w:val="single" w:color="auto" w:sz="4" w:space="0"/>
              <w:right w:val="single" w:color="auto" w:sz="4" w:space="0"/>
            </w:tcBorders>
            <w:noWrap/>
            <w:vAlign w:val="center"/>
            <w:hideMark/>
          </w:tcPr>
          <w:p w:rsidRPr="00E268AD" w:rsidR="003748C0" w:rsidP="00F16B94" w:rsidRDefault="003748C0" w14:paraId="24A2E198" w14:textId="77777777">
            <w:pPr>
              <w:spacing w:after="0" w:line="240" w:lineRule="auto"/>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Totaal</w:t>
            </w:r>
          </w:p>
        </w:tc>
        <w:tc>
          <w:tcPr>
            <w:tcW w:w="1644" w:type="dxa"/>
            <w:tcBorders>
              <w:top w:val="single" w:color="auto" w:sz="4" w:space="0"/>
              <w:left w:val="nil"/>
              <w:bottom w:val="single" w:color="auto" w:sz="4" w:space="0"/>
              <w:right w:val="single" w:color="auto" w:sz="4" w:space="0"/>
            </w:tcBorders>
            <w:noWrap/>
            <w:vAlign w:val="center"/>
            <w:hideMark/>
          </w:tcPr>
          <w:p w:rsidRPr="00E268AD" w:rsidR="003748C0" w:rsidP="00F16B94" w:rsidRDefault="003748C0" w14:paraId="17B53886"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533.500</w:t>
            </w:r>
          </w:p>
        </w:tc>
        <w:tc>
          <w:tcPr>
            <w:tcW w:w="1644" w:type="dxa"/>
            <w:tcBorders>
              <w:top w:val="single" w:color="auto" w:sz="4" w:space="0"/>
              <w:left w:val="nil"/>
              <w:bottom w:val="single" w:color="auto" w:sz="4" w:space="0"/>
              <w:right w:val="single" w:color="auto" w:sz="4" w:space="0"/>
            </w:tcBorders>
            <w:noWrap/>
            <w:vAlign w:val="center"/>
            <w:hideMark/>
          </w:tcPr>
          <w:p w:rsidRPr="00E268AD" w:rsidR="003748C0" w:rsidP="00F16B94" w:rsidRDefault="003748C0" w14:paraId="1E4617EA"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87.600</w:t>
            </w:r>
          </w:p>
        </w:tc>
        <w:tc>
          <w:tcPr>
            <w:tcW w:w="1644" w:type="dxa"/>
            <w:tcBorders>
              <w:top w:val="single" w:color="auto" w:sz="4" w:space="0"/>
              <w:left w:val="nil"/>
              <w:bottom w:val="single" w:color="auto" w:sz="4" w:space="0"/>
              <w:right w:val="single" w:color="auto" w:sz="4" w:space="0"/>
            </w:tcBorders>
            <w:noWrap/>
            <w:vAlign w:val="center"/>
            <w:hideMark/>
          </w:tcPr>
          <w:p w:rsidRPr="00E268AD" w:rsidR="003748C0" w:rsidP="00F16B94" w:rsidRDefault="003748C0" w14:paraId="02103E6F"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621.100</w:t>
            </w:r>
          </w:p>
        </w:tc>
      </w:tr>
    </w:tbl>
    <w:p w:rsidR="003748C0" w:rsidP="003748C0" w:rsidRDefault="003748C0" w14:paraId="2CD8A615" w14:textId="77777777">
      <w:pPr>
        <w:pStyle w:val="Geenafstand"/>
        <w:rPr>
          <w:rFonts w:ascii="Verdana" w:hAnsi="Verdana"/>
          <w:sz w:val="18"/>
          <w:szCs w:val="18"/>
        </w:rPr>
      </w:pPr>
      <w:r w:rsidRPr="00616611">
        <w:rPr>
          <w:rFonts w:ascii="Verdana" w:hAnsi="Verdana"/>
          <w:sz w:val="18"/>
          <w:szCs w:val="18"/>
        </w:rPr>
        <w:t>Bron: Dienst Toeslagen, cijferbeeld april 2026, bewerking Ministerie van SZW</w:t>
      </w:r>
      <w:r>
        <w:rPr>
          <w:rFonts w:ascii="Verdana" w:hAnsi="Verdana"/>
          <w:sz w:val="18"/>
          <w:szCs w:val="18"/>
        </w:rPr>
        <w:t>.</w:t>
      </w:r>
    </w:p>
    <w:p w:rsidR="003748C0" w:rsidP="003748C0" w:rsidRDefault="003748C0" w14:paraId="0E6833C5" w14:textId="77777777">
      <w:pPr>
        <w:pStyle w:val="Geenafstand"/>
        <w:rPr>
          <w:rFonts w:ascii="Verdana" w:hAnsi="Verdana"/>
          <w:sz w:val="18"/>
          <w:szCs w:val="18"/>
        </w:rPr>
      </w:pPr>
    </w:p>
    <w:p w:rsidR="003748C0" w:rsidP="003748C0" w:rsidRDefault="003748C0" w14:paraId="4E96D2A0" w14:textId="77777777">
      <w:pPr>
        <w:pStyle w:val="Geenafstand"/>
        <w:rPr>
          <w:rFonts w:ascii="Verdana" w:hAnsi="Verdana"/>
          <w:sz w:val="18"/>
          <w:szCs w:val="18"/>
        </w:rPr>
      </w:pPr>
      <w:r>
        <w:rPr>
          <w:rFonts w:ascii="Verdana" w:hAnsi="Verdana"/>
          <w:sz w:val="18"/>
          <w:szCs w:val="18"/>
        </w:rPr>
        <w:t>Aanvullend is hieronder voor de inkomenscategorie ‘3 keer modaal en hoger’ een nadere uitsplitsing gemaakt op totaalniveau (136.200 huishoudens):</w:t>
      </w:r>
    </w:p>
    <w:p w:rsidR="003748C0" w:rsidP="003748C0" w:rsidRDefault="003748C0" w14:paraId="0B1B1799" w14:textId="77777777">
      <w:pPr>
        <w:pStyle w:val="Geenafstand"/>
        <w:rPr>
          <w:rFonts w:ascii="Verdana" w:hAnsi="Verdana"/>
          <w:sz w:val="18"/>
          <w:szCs w:val="18"/>
        </w:rPr>
      </w:pPr>
    </w:p>
    <w:tbl>
      <w:tblPr>
        <w:tblW w:w="0" w:type="auto"/>
        <w:tblCellMar>
          <w:left w:w="70" w:type="dxa"/>
          <w:right w:w="70" w:type="dxa"/>
        </w:tblCellMar>
        <w:tblLook w:val="04A0" w:firstRow="1" w:lastRow="0" w:firstColumn="1" w:lastColumn="0" w:noHBand="0" w:noVBand="1"/>
      </w:tblPr>
      <w:tblGrid>
        <w:gridCol w:w="2835"/>
        <w:gridCol w:w="1644"/>
      </w:tblGrid>
      <w:tr w:rsidRPr="00E268AD" w:rsidR="003748C0" w:rsidTr="00F16B94" w14:paraId="6B5C2830" w14:textId="77777777">
        <w:trPr>
          <w:trHeight w:val="290"/>
        </w:trPr>
        <w:tc>
          <w:tcPr>
            <w:tcW w:w="2835" w:type="dxa"/>
            <w:tcBorders>
              <w:top w:val="single" w:color="auto" w:sz="4" w:space="0"/>
              <w:left w:val="single" w:color="auto" w:sz="4" w:space="0"/>
              <w:bottom w:val="single" w:color="auto" w:sz="4" w:space="0"/>
              <w:right w:val="single" w:color="auto" w:sz="4" w:space="0"/>
            </w:tcBorders>
            <w:noWrap/>
            <w:vAlign w:val="center"/>
            <w:hideMark/>
          </w:tcPr>
          <w:p w:rsidRPr="00E268AD" w:rsidR="003748C0" w:rsidP="00F16B94" w:rsidRDefault="003748C0" w14:paraId="29650966" w14:textId="77777777">
            <w:pPr>
              <w:spacing w:after="0" w:line="240" w:lineRule="auto"/>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Inkomenscategorie</w:t>
            </w:r>
          </w:p>
        </w:tc>
        <w:tc>
          <w:tcPr>
            <w:tcW w:w="1644" w:type="dxa"/>
            <w:tcBorders>
              <w:top w:val="single" w:color="auto" w:sz="4" w:space="0"/>
              <w:left w:val="nil"/>
              <w:bottom w:val="single" w:color="auto" w:sz="4" w:space="0"/>
              <w:right w:val="single" w:color="auto" w:sz="4" w:space="0"/>
            </w:tcBorders>
            <w:noWrap/>
            <w:vAlign w:val="center"/>
            <w:hideMark/>
          </w:tcPr>
          <w:p w:rsidRPr="00E268AD" w:rsidR="003748C0" w:rsidP="00F16B94" w:rsidRDefault="003748C0" w14:paraId="2426461A" w14:textId="77777777">
            <w:pPr>
              <w:spacing w:after="0" w:line="240" w:lineRule="auto"/>
              <w:jc w:val="center"/>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Totaal</w:t>
            </w:r>
          </w:p>
        </w:tc>
      </w:tr>
      <w:tr w:rsidRPr="00E268AD" w:rsidR="003748C0" w:rsidTr="00F16B94" w14:paraId="514697FA" w14:textId="77777777">
        <w:trPr>
          <w:trHeight w:val="290"/>
        </w:trPr>
        <w:tc>
          <w:tcPr>
            <w:tcW w:w="2835" w:type="dxa"/>
            <w:tcBorders>
              <w:top w:val="nil"/>
              <w:left w:val="single" w:color="auto" w:sz="4" w:space="0"/>
              <w:bottom w:val="nil"/>
              <w:right w:val="single" w:color="auto" w:sz="4" w:space="0"/>
            </w:tcBorders>
            <w:noWrap/>
            <w:vAlign w:val="center"/>
            <w:hideMark/>
          </w:tcPr>
          <w:p w:rsidRPr="00E268AD" w:rsidR="003748C0" w:rsidP="00F16B94" w:rsidRDefault="003748C0" w14:paraId="497EA3FC"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3 x modaal tot 4 x modaal</w:t>
            </w:r>
          </w:p>
        </w:tc>
        <w:tc>
          <w:tcPr>
            <w:tcW w:w="1644" w:type="dxa"/>
            <w:tcBorders>
              <w:top w:val="nil"/>
              <w:left w:val="nil"/>
              <w:bottom w:val="nil"/>
              <w:right w:val="single" w:color="auto" w:sz="4" w:space="0"/>
            </w:tcBorders>
            <w:noWrap/>
            <w:vAlign w:val="center"/>
            <w:hideMark/>
          </w:tcPr>
          <w:p w:rsidRPr="00E268AD" w:rsidR="003748C0" w:rsidP="00F16B94" w:rsidRDefault="003748C0" w14:paraId="1A65DFC7"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82.300</w:t>
            </w:r>
          </w:p>
        </w:tc>
      </w:tr>
      <w:tr w:rsidRPr="00E268AD" w:rsidR="003748C0" w:rsidTr="00F16B94" w14:paraId="1B4A689D" w14:textId="77777777">
        <w:trPr>
          <w:trHeight w:val="290"/>
        </w:trPr>
        <w:tc>
          <w:tcPr>
            <w:tcW w:w="2835" w:type="dxa"/>
            <w:tcBorders>
              <w:top w:val="nil"/>
              <w:left w:val="single" w:color="auto" w:sz="4" w:space="0"/>
              <w:bottom w:val="nil"/>
              <w:right w:val="single" w:color="auto" w:sz="4" w:space="0"/>
            </w:tcBorders>
            <w:noWrap/>
            <w:vAlign w:val="center"/>
            <w:hideMark/>
          </w:tcPr>
          <w:p w:rsidRPr="00E268AD" w:rsidR="003748C0" w:rsidP="00F16B94" w:rsidRDefault="003748C0" w14:paraId="1C4144FD"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4 x modaal tot 5 x modaal</w:t>
            </w:r>
          </w:p>
        </w:tc>
        <w:tc>
          <w:tcPr>
            <w:tcW w:w="1644" w:type="dxa"/>
            <w:tcBorders>
              <w:top w:val="nil"/>
              <w:left w:val="nil"/>
              <w:bottom w:val="nil"/>
              <w:right w:val="single" w:color="auto" w:sz="4" w:space="0"/>
            </w:tcBorders>
            <w:noWrap/>
            <w:vAlign w:val="center"/>
            <w:hideMark/>
          </w:tcPr>
          <w:p w:rsidRPr="00E268AD" w:rsidR="003748C0" w:rsidP="00F16B94" w:rsidRDefault="003748C0" w14:paraId="0F00585C"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29.500</w:t>
            </w:r>
          </w:p>
        </w:tc>
      </w:tr>
      <w:tr w:rsidRPr="00E268AD" w:rsidR="003748C0" w:rsidTr="00F16B94" w14:paraId="0EA3D2D8" w14:textId="77777777">
        <w:trPr>
          <w:trHeight w:val="290"/>
        </w:trPr>
        <w:tc>
          <w:tcPr>
            <w:tcW w:w="2835" w:type="dxa"/>
            <w:tcBorders>
              <w:top w:val="nil"/>
              <w:left w:val="single" w:color="auto" w:sz="4" w:space="0"/>
              <w:bottom w:val="nil"/>
              <w:right w:val="single" w:color="auto" w:sz="4" w:space="0"/>
            </w:tcBorders>
            <w:noWrap/>
            <w:vAlign w:val="center"/>
            <w:hideMark/>
          </w:tcPr>
          <w:p w:rsidRPr="00E268AD" w:rsidR="003748C0" w:rsidP="00F16B94" w:rsidRDefault="003748C0" w14:paraId="109C0270"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5 x modaal tot 6 x modaal</w:t>
            </w:r>
          </w:p>
        </w:tc>
        <w:tc>
          <w:tcPr>
            <w:tcW w:w="1644" w:type="dxa"/>
            <w:tcBorders>
              <w:top w:val="nil"/>
              <w:left w:val="nil"/>
              <w:bottom w:val="nil"/>
              <w:right w:val="single" w:color="auto" w:sz="4" w:space="0"/>
            </w:tcBorders>
            <w:noWrap/>
            <w:vAlign w:val="center"/>
            <w:hideMark/>
          </w:tcPr>
          <w:p w:rsidRPr="00E268AD" w:rsidR="003748C0" w:rsidP="00F16B94" w:rsidRDefault="003748C0" w14:paraId="4C164D64"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12.100</w:t>
            </w:r>
          </w:p>
        </w:tc>
      </w:tr>
      <w:tr w:rsidRPr="00E268AD" w:rsidR="003748C0" w:rsidTr="00F16B94" w14:paraId="7F46395F" w14:textId="77777777">
        <w:trPr>
          <w:trHeight w:val="290"/>
        </w:trPr>
        <w:tc>
          <w:tcPr>
            <w:tcW w:w="2835" w:type="dxa"/>
            <w:tcBorders>
              <w:top w:val="nil"/>
              <w:left w:val="single" w:color="auto" w:sz="4" w:space="0"/>
              <w:bottom w:val="nil"/>
              <w:right w:val="single" w:color="auto" w:sz="4" w:space="0"/>
            </w:tcBorders>
            <w:noWrap/>
            <w:vAlign w:val="center"/>
            <w:hideMark/>
          </w:tcPr>
          <w:p w:rsidRPr="00E268AD" w:rsidR="003748C0" w:rsidP="00F16B94" w:rsidRDefault="003748C0" w14:paraId="3DDC4FF5" w14:textId="77777777">
            <w:pPr>
              <w:spacing w:after="0" w:line="240" w:lineRule="auto"/>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6 x modaal en hoger</w:t>
            </w:r>
          </w:p>
        </w:tc>
        <w:tc>
          <w:tcPr>
            <w:tcW w:w="1644" w:type="dxa"/>
            <w:tcBorders>
              <w:top w:val="nil"/>
              <w:left w:val="nil"/>
              <w:bottom w:val="nil"/>
              <w:right w:val="single" w:color="auto" w:sz="4" w:space="0"/>
            </w:tcBorders>
            <w:noWrap/>
            <w:vAlign w:val="center"/>
            <w:hideMark/>
          </w:tcPr>
          <w:p w:rsidRPr="00E268AD" w:rsidR="003748C0" w:rsidP="00F16B94" w:rsidRDefault="003748C0" w14:paraId="47F43947" w14:textId="77777777">
            <w:pPr>
              <w:spacing w:after="0" w:line="240" w:lineRule="auto"/>
              <w:jc w:val="right"/>
              <w:rPr>
                <w:rFonts w:ascii="Verdana" w:hAnsi="Verdana" w:eastAsia="Times New Roman" w:cs="Calibri"/>
                <w:color w:val="000000"/>
                <w:kern w:val="0"/>
                <w:sz w:val="18"/>
                <w:szCs w:val="18"/>
                <w:lang w:eastAsia="nl-NL"/>
                <w14:ligatures w14:val="none"/>
              </w:rPr>
            </w:pPr>
            <w:r w:rsidRPr="00E268AD">
              <w:rPr>
                <w:rFonts w:ascii="Verdana" w:hAnsi="Verdana" w:eastAsia="Times New Roman" w:cs="Calibri"/>
                <w:color w:val="000000"/>
                <w:kern w:val="0"/>
                <w:sz w:val="18"/>
                <w:szCs w:val="18"/>
                <w:lang w:eastAsia="nl-NL"/>
                <w14:ligatures w14:val="none"/>
              </w:rPr>
              <w:t>12.200</w:t>
            </w:r>
          </w:p>
        </w:tc>
      </w:tr>
      <w:tr w:rsidRPr="00E268AD" w:rsidR="003748C0" w:rsidTr="00F16B94" w14:paraId="2674FB04" w14:textId="77777777">
        <w:trPr>
          <w:trHeight w:val="290"/>
        </w:trPr>
        <w:tc>
          <w:tcPr>
            <w:tcW w:w="2835" w:type="dxa"/>
            <w:tcBorders>
              <w:top w:val="single" w:color="auto" w:sz="4" w:space="0"/>
              <w:left w:val="single" w:color="auto" w:sz="4" w:space="0"/>
              <w:bottom w:val="single" w:color="auto" w:sz="4" w:space="0"/>
              <w:right w:val="single" w:color="auto" w:sz="4" w:space="0"/>
            </w:tcBorders>
            <w:noWrap/>
            <w:vAlign w:val="center"/>
            <w:hideMark/>
          </w:tcPr>
          <w:p w:rsidRPr="00E268AD" w:rsidR="003748C0" w:rsidP="00F16B94" w:rsidRDefault="003748C0" w14:paraId="4413F6E2" w14:textId="77777777">
            <w:pPr>
              <w:spacing w:after="0" w:line="240" w:lineRule="auto"/>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Totaal</w:t>
            </w:r>
          </w:p>
        </w:tc>
        <w:tc>
          <w:tcPr>
            <w:tcW w:w="1644" w:type="dxa"/>
            <w:tcBorders>
              <w:top w:val="single" w:color="auto" w:sz="4" w:space="0"/>
              <w:left w:val="nil"/>
              <w:bottom w:val="single" w:color="auto" w:sz="4" w:space="0"/>
              <w:right w:val="single" w:color="auto" w:sz="4" w:space="0"/>
            </w:tcBorders>
            <w:noWrap/>
            <w:vAlign w:val="center"/>
            <w:hideMark/>
          </w:tcPr>
          <w:p w:rsidRPr="00E268AD" w:rsidR="003748C0" w:rsidP="00F16B94" w:rsidRDefault="003748C0" w14:paraId="4CF3223A" w14:textId="77777777">
            <w:pPr>
              <w:spacing w:after="0" w:line="240" w:lineRule="auto"/>
              <w:jc w:val="right"/>
              <w:rPr>
                <w:rFonts w:ascii="Verdana" w:hAnsi="Verdana" w:eastAsia="Times New Roman" w:cs="Calibri"/>
                <w:b/>
                <w:bCs/>
                <w:color w:val="000000"/>
                <w:kern w:val="0"/>
                <w:sz w:val="18"/>
                <w:szCs w:val="18"/>
                <w:lang w:eastAsia="nl-NL"/>
                <w14:ligatures w14:val="none"/>
              </w:rPr>
            </w:pPr>
            <w:r w:rsidRPr="00E268AD">
              <w:rPr>
                <w:rFonts w:ascii="Verdana" w:hAnsi="Verdana" w:eastAsia="Times New Roman" w:cs="Calibri"/>
                <w:b/>
                <w:bCs/>
                <w:color w:val="000000"/>
                <w:kern w:val="0"/>
                <w:sz w:val="18"/>
                <w:szCs w:val="18"/>
                <w:lang w:eastAsia="nl-NL"/>
                <w14:ligatures w14:val="none"/>
              </w:rPr>
              <w:t>136.200</w:t>
            </w:r>
          </w:p>
        </w:tc>
      </w:tr>
    </w:tbl>
    <w:p w:rsidR="003748C0" w:rsidP="003748C0" w:rsidRDefault="003748C0" w14:paraId="70CE8A2A" w14:textId="77777777">
      <w:pPr>
        <w:pStyle w:val="Geenafstand"/>
        <w:rPr>
          <w:rFonts w:ascii="Verdana" w:hAnsi="Verdana"/>
          <w:sz w:val="18"/>
          <w:szCs w:val="18"/>
        </w:rPr>
      </w:pPr>
    </w:p>
    <w:p w:rsidR="003748C0" w:rsidP="003748C0" w:rsidRDefault="003748C0" w14:paraId="3E975290" w14:textId="77777777">
      <w:pPr>
        <w:pStyle w:val="Geenafstand"/>
        <w:rPr>
          <w:rFonts w:ascii="Verdana" w:hAnsi="Verdana"/>
          <w:sz w:val="18"/>
          <w:szCs w:val="18"/>
        </w:rPr>
      </w:pPr>
      <w:r>
        <w:rPr>
          <w:rFonts w:ascii="Verdana" w:hAnsi="Verdana"/>
          <w:sz w:val="18"/>
          <w:szCs w:val="18"/>
        </w:rPr>
        <w:t>De laagste inkomenscategorieën, met een gezamenlijk inkomen tot het minimumloon respectievelijk tussen 100% WML en modaal, bestaan grotendeels uit alleenstaanden. Bij een gezinnen met twee werkende ouders komt het totale inkomen al gauw boven modaal uit. Bij paren met een inkomen tot modaal komt het relatief vaak voor dat één of beide ouders zijn uitgezonderd van de arbeidseis (zie het antwoord op vraag 6). Daaronder vallen onder meer studenten en ouders die een traject naar werk volgen.</w:t>
      </w:r>
    </w:p>
    <w:p w:rsidRPr="00901120" w:rsidR="003748C0" w:rsidP="003748C0" w:rsidRDefault="003748C0" w14:paraId="4E4727F7" w14:textId="77777777">
      <w:pPr>
        <w:pStyle w:val="Geenafstand"/>
        <w:rPr>
          <w:rFonts w:ascii="Verdana" w:hAnsi="Verdana"/>
          <w:i/>
          <w:iCs/>
          <w:sz w:val="18"/>
          <w:szCs w:val="18"/>
        </w:rPr>
      </w:pPr>
      <w:r w:rsidRPr="00901120">
        <w:rPr>
          <w:rFonts w:ascii="Verdana" w:hAnsi="Verdana"/>
          <w:i/>
          <w:iCs/>
          <w:sz w:val="18"/>
          <w:szCs w:val="18"/>
        </w:rPr>
        <w:br/>
      </w:r>
    </w:p>
    <w:p w:rsidR="003748C0" w:rsidP="003748C0" w:rsidRDefault="003748C0" w14:paraId="1AD51DC7" w14:textId="77777777">
      <w:pPr>
        <w:pStyle w:val="Geenafstand"/>
        <w:rPr>
          <w:rFonts w:ascii="Verdana" w:hAnsi="Verdana"/>
          <w:sz w:val="18"/>
          <w:szCs w:val="18"/>
        </w:rPr>
      </w:pPr>
      <w:r w:rsidRPr="00901120">
        <w:rPr>
          <w:rFonts w:ascii="Verdana" w:hAnsi="Verdana"/>
          <w:i/>
          <w:iCs/>
          <w:sz w:val="18"/>
          <w:szCs w:val="18"/>
        </w:rPr>
        <w:t>9.Hoeveel (absoluut en procentueel) van de huidige ontvangers van kinderopvangtoeslag blijft boven het sociaal minimum wanneer de kinderopvangtoeslag voor hen zou worden afgeschaft? Kunt u een overzicht vanaf 2015 geven en een toelichting op uw antwoord?</w:t>
      </w:r>
      <w:r w:rsidRPr="00901120">
        <w:rPr>
          <w:rFonts w:ascii="Verdana" w:hAnsi="Verdana"/>
          <w:i/>
          <w:iCs/>
          <w:sz w:val="18"/>
          <w:szCs w:val="18"/>
        </w:rPr>
        <w:br/>
      </w:r>
    </w:p>
    <w:p w:rsidR="003748C0" w:rsidP="003748C0" w:rsidRDefault="003748C0" w14:paraId="7CE4161C" w14:textId="77777777">
      <w:pPr>
        <w:pStyle w:val="Geenafstand"/>
        <w:rPr>
          <w:rFonts w:ascii="Verdana" w:hAnsi="Verdana"/>
          <w:sz w:val="18"/>
          <w:szCs w:val="18"/>
        </w:rPr>
      </w:pPr>
      <w:r>
        <w:rPr>
          <w:rFonts w:ascii="Verdana" w:hAnsi="Verdana"/>
          <w:sz w:val="18"/>
          <w:szCs w:val="18"/>
        </w:rPr>
        <w:t>Kinderopvangtoeslag is geen vorm van inkomensondersteuning, maar een tegemoetkoming in de kosten van kinderopvang. Kinderopvangtoeslag zorgt er dus voor dat ouders te maken hebben met lagere netto-uitgaven aan kinderopvang, zodat ze de zorg voor hun kinderen kunnen combineren met werk. Ouders betalen daarbij altijd een eigen bijdrage voor kinderopvang. Zonder kinderopvangtoeslag is kinderopvang voor veel ouders te duur en is het niet aantrekkelijk om te werken. Het is niet precies bekend hoeveel ouders zouden stoppen met werken als de kinderopvangtoeslag zou worden afgeschaft en hoeveel ouders vervolgens boven het sociaal minimum zouden blijven. Andersom is het ook mogelijk dat ouders met kinderopvangtoeslag zich nu al op het sociaal minimum bevinden, bijvoorbeeld wanneer zij een opleiding volgen en nog geen betaald werk verrichten.</w:t>
      </w:r>
    </w:p>
    <w:p w:rsidRPr="00901120" w:rsidR="003748C0" w:rsidP="003748C0" w:rsidRDefault="003748C0" w14:paraId="55312090" w14:textId="77777777">
      <w:pPr>
        <w:pStyle w:val="Geenafstand"/>
        <w:rPr>
          <w:rFonts w:ascii="Verdana" w:hAnsi="Verdana"/>
          <w:sz w:val="18"/>
          <w:szCs w:val="18"/>
        </w:rPr>
      </w:pPr>
    </w:p>
    <w:p w:rsidRPr="00732F86" w:rsidR="003748C0" w:rsidP="003748C0" w:rsidRDefault="003748C0" w14:paraId="58BB1FD5" w14:textId="77777777">
      <w:pPr>
        <w:pStyle w:val="Geenafstand"/>
        <w:rPr>
          <w:rFonts w:ascii="Verdana" w:hAnsi="Verdana"/>
          <w:i/>
          <w:iCs/>
          <w:sz w:val="18"/>
          <w:szCs w:val="18"/>
        </w:rPr>
      </w:pPr>
      <w:r w:rsidRPr="00732F86">
        <w:rPr>
          <w:rFonts w:ascii="Verdana" w:hAnsi="Verdana"/>
          <w:i/>
          <w:iCs/>
          <w:sz w:val="18"/>
          <w:szCs w:val="18"/>
        </w:rPr>
        <w:t>10.Bent u van mening dat iedereen, die op dit momentrecht heeft op kinderopvangtoeslag en ontvangt, deze toeslag ook absoluut nodig heeft om financieel het hoofd boven water te houden? Zo ja, waarom? Zo nee, waarom niet? Kunt u tevens een toelichting geven op uw antwoord?</w:t>
      </w:r>
      <w:r w:rsidRPr="00732F86">
        <w:rPr>
          <w:rFonts w:ascii="Verdana" w:hAnsi="Verdana"/>
          <w:i/>
          <w:iCs/>
          <w:sz w:val="18"/>
          <w:szCs w:val="18"/>
        </w:rPr>
        <w:br/>
      </w:r>
    </w:p>
    <w:p w:rsidRPr="00732F86" w:rsidR="003748C0" w:rsidP="003748C0" w:rsidRDefault="003748C0" w14:paraId="1DC12152" w14:textId="77777777">
      <w:pPr>
        <w:pStyle w:val="Geenafstand"/>
        <w:rPr>
          <w:rFonts w:ascii="Verdana" w:hAnsi="Verdana"/>
          <w:sz w:val="18"/>
          <w:szCs w:val="18"/>
        </w:rPr>
      </w:pPr>
      <w:r>
        <w:rPr>
          <w:rFonts w:ascii="Verdana" w:hAnsi="Verdana"/>
          <w:sz w:val="18"/>
          <w:szCs w:val="18"/>
        </w:rPr>
        <w:t xml:space="preserve">Zoals aangegeven in antwoord op vraag 9, is de kinderopvangtoeslag niet bedoeld als inkomensondersteuning, maar om ouders tegemoet te komen in de kosten voor kinderopvang. Zo kunnen ouders arbeid combineren met de zorg voor hun kinderen. Zonder kinderopvangtoeslag zouden veel ouders niet in staat zijn te betalen voor kinderopvang en dus minder of niet kunnen </w:t>
      </w:r>
      <w:r>
        <w:rPr>
          <w:rFonts w:ascii="Verdana" w:hAnsi="Verdana"/>
          <w:sz w:val="18"/>
          <w:szCs w:val="18"/>
        </w:rPr>
        <w:lastRenderedPageBreak/>
        <w:t xml:space="preserve">werken, wat de bestaanszekerheid van deze ouders onder druk zou zetten. In de huidige vergrijzende samenleving hebben we bovendien iedere arbeidskracht hard nodig. Kinderen van werkende ouders hebben op deze wijze toegang tot kwalitatief goede kinderopvang met positieve effecten op de ontwikkeling tot gevolg. </w:t>
      </w:r>
    </w:p>
    <w:p w:rsidRPr="00E9317E" w:rsidR="003748C0" w:rsidP="003748C0" w:rsidRDefault="003748C0" w14:paraId="152812B2" w14:textId="77777777">
      <w:pPr>
        <w:pStyle w:val="Geenafstand"/>
        <w:rPr>
          <w:rFonts w:ascii="Verdana" w:hAnsi="Verdana"/>
          <w:sz w:val="18"/>
          <w:szCs w:val="18"/>
        </w:rPr>
      </w:pPr>
    </w:p>
    <w:p w:rsidRPr="00E8561F" w:rsidR="003748C0" w:rsidP="003748C0" w:rsidRDefault="003748C0" w14:paraId="3D61EA37" w14:textId="77777777">
      <w:pPr>
        <w:pStyle w:val="Geenafstand"/>
        <w:rPr>
          <w:rFonts w:ascii="Verdana" w:hAnsi="Verdana"/>
          <w:i/>
          <w:iCs/>
          <w:sz w:val="18"/>
          <w:szCs w:val="18"/>
        </w:rPr>
      </w:pPr>
      <w:r w:rsidRPr="00E8561F">
        <w:rPr>
          <w:rFonts w:ascii="Verdana" w:hAnsi="Verdana"/>
          <w:i/>
          <w:iCs/>
          <w:sz w:val="18"/>
          <w:szCs w:val="18"/>
        </w:rPr>
        <w:t>11.Hoeveel euro bedragen de totale uitvoeringskosten van de kinderopvangtoeslag (exclusief de kosten voor het herstel van de schade die is veroorzaakt door het toeslagenschandaal)? Kunt u een overzicht geven vanaf 2015?</w:t>
      </w:r>
      <w:r w:rsidRPr="00E8561F">
        <w:rPr>
          <w:rFonts w:ascii="Verdana" w:hAnsi="Verdana"/>
          <w:i/>
          <w:iCs/>
          <w:sz w:val="18"/>
          <w:szCs w:val="18"/>
        </w:rPr>
        <w:br/>
      </w:r>
    </w:p>
    <w:p w:rsidRPr="00E8561F" w:rsidR="003748C0" w:rsidP="003748C0" w:rsidRDefault="003748C0" w14:paraId="7063189E" w14:textId="77777777">
      <w:pPr>
        <w:pStyle w:val="Geenafstand"/>
        <w:rPr>
          <w:rFonts w:ascii="Verdana" w:hAnsi="Verdana"/>
          <w:sz w:val="18"/>
          <w:szCs w:val="18"/>
        </w:rPr>
      </w:pPr>
      <w:r w:rsidRPr="00E8561F">
        <w:rPr>
          <w:rFonts w:ascii="Verdana" w:hAnsi="Verdana"/>
          <w:sz w:val="18"/>
          <w:szCs w:val="18"/>
        </w:rPr>
        <w:t xml:space="preserve">Dienst Toeslagen heeft géén inzicht in de uitvoeringskosten </w:t>
      </w:r>
      <w:r>
        <w:rPr>
          <w:rFonts w:ascii="Verdana" w:hAnsi="Verdana"/>
          <w:sz w:val="18"/>
          <w:szCs w:val="18"/>
        </w:rPr>
        <w:t>van de kinderopvangtoeslag</w:t>
      </w:r>
      <w:r w:rsidRPr="00E8561F">
        <w:rPr>
          <w:rFonts w:ascii="Verdana" w:hAnsi="Verdana"/>
          <w:sz w:val="18"/>
          <w:szCs w:val="18"/>
        </w:rPr>
        <w:t xml:space="preserve">, omdat de processen integraal zijn georganiseerd om de vier toeslagsoorten uit te voeren en dus niet per toeslagsoort. Hierdoor kan Dienst Toeslagen niet de gevraagde doorsnede van </w:t>
      </w:r>
      <w:r>
        <w:rPr>
          <w:rFonts w:ascii="Verdana" w:hAnsi="Verdana"/>
          <w:sz w:val="18"/>
          <w:szCs w:val="18"/>
        </w:rPr>
        <w:t>kinderopvangtoeslag</w:t>
      </w:r>
      <w:r w:rsidRPr="00E8561F">
        <w:rPr>
          <w:rFonts w:ascii="Verdana" w:hAnsi="Verdana"/>
          <w:sz w:val="18"/>
          <w:szCs w:val="18"/>
        </w:rPr>
        <w:t xml:space="preserve"> leveren. Op dit moment is er een model in ontwikkeling dat op termijn dit inzicht voor </w:t>
      </w:r>
      <w:r>
        <w:rPr>
          <w:rFonts w:ascii="Verdana" w:hAnsi="Verdana"/>
          <w:sz w:val="18"/>
          <w:szCs w:val="18"/>
        </w:rPr>
        <w:t>kinderopvangtoeslag</w:t>
      </w:r>
      <w:r w:rsidRPr="00E8561F">
        <w:rPr>
          <w:rFonts w:ascii="Verdana" w:hAnsi="Verdana"/>
          <w:sz w:val="18"/>
          <w:szCs w:val="18"/>
        </w:rPr>
        <w:t xml:space="preserve"> (en andere toeslagsoorten) wel kan leveren voor de jaren 2024 en verder.</w:t>
      </w:r>
    </w:p>
    <w:p w:rsidRPr="00E9317E" w:rsidR="003748C0" w:rsidP="003748C0" w:rsidRDefault="003748C0" w14:paraId="24B46108" w14:textId="77777777">
      <w:pPr>
        <w:pStyle w:val="Geenafstand"/>
        <w:rPr>
          <w:rFonts w:ascii="Verdana" w:hAnsi="Verdana"/>
          <w:sz w:val="18"/>
          <w:szCs w:val="18"/>
        </w:rPr>
      </w:pPr>
    </w:p>
    <w:p w:rsidRPr="00E8561F" w:rsidR="003748C0" w:rsidP="003748C0" w:rsidRDefault="003748C0" w14:paraId="36FB3EA8" w14:textId="77777777">
      <w:pPr>
        <w:pStyle w:val="Geenafstand"/>
        <w:rPr>
          <w:rFonts w:ascii="Verdana" w:hAnsi="Verdana"/>
          <w:i/>
          <w:iCs/>
          <w:sz w:val="18"/>
          <w:szCs w:val="18"/>
        </w:rPr>
      </w:pPr>
      <w:r w:rsidRPr="00E8561F">
        <w:rPr>
          <w:rFonts w:ascii="Verdana" w:hAnsi="Verdana"/>
          <w:i/>
          <w:iCs/>
          <w:sz w:val="18"/>
          <w:szCs w:val="18"/>
        </w:rPr>
        <w:t xml:space="preserve">12.Met hoeveel procentpunt kan het tarief in de eerste schijf van de inkomstenbelasting (box 1) voor werkenden ceteris paribus worden verlaagd als de kinderopvangtoeslag wordt afgeschaft voor mensen met een arbeidsinkomen boven het sociaal minimum? Kunt u een toelichting geven op uw </w:t>
      </w:r>
      <w:r w:rsidRPr="00E8561F">
        <w:rPr>
          <w:rFonts w:ascii="Verdana" w:hAnsi="Verdana"/>
          <w:i/>
          <w:iCs/>
          <w:sz w:val="18"/>
          <w:szCs w:val="18"/>
        </w:rPr>
        <w:br/>
        <w:t>antwoord?</w:t>
      </w:r>
    </w:p>
    <w:p w:rsidR="003748C0" w:rsidP="003748C0" w:rsidRDefault="003748C0" w14:paraId="5F9F8932" w14:textId="77777777">
      <w:pPr>
        <w:pStyle w:val="Geenafstand"/>
        <w:rPr>
          <w:rFonts w:ascii="Verdana" w:hAnsi="Verdana"/>
          <w:sz w:val="18"/>
          <w:szCs w:val="18"/>
        </w:rPr>
      </w:pPr>
    </w:p>
    <w:p w:rsidR="003748C0" w:rsidP="003748C0" w:rsidRDefault="003748C0" w14:paraId="065F3F06" w14:textId="77777777">
      <w:pPr>
        <w:pStyle w:val="Geenafstand"/>
        <w:rPr>
          <w:rFonts w:ascii="Verdana" w:hAnsi="Verdana"/>
          <w:sz w:val="18"/>
          <w:szCs w:val="18"/>
        </w:rPr>
      </w:pPr>
      <w:r>
        <w:rPr>
          <w:rFonts w:ascii="Verdana" w:hAnsi="Verdana"/>
          <w:sz w:val="18"/>
          <w:szCs w:val="18"/>
        </w:rPr>
        <w:t xml:space="preserve">Een verlaging van het tarief in de eerste schijf </w:t>
      </w:r>
      <w:r w:rsidRPr="002243C8">
        <w:rPr>
          <w:rFonts w:ascii="Verdana" w:hAnsi="Verdana"/>
          <w:sz w:val="18"/>
          <w:szCs w:val="18"/>
        </w:rPr>
        <w:t>van de inkomstenbelasting</w:t>
      </w:r>
      <w:r>
        <w:rPr>
          <w:rFonts w:ascii="Verdana" w:hAnsi="Verdana"/>
          <w:sz w:val="18"/>
          <w:szCs w:val="18"/>
        </w:rPr>
        <w:t xml:space="preserve"> </w:t>
      </w:r>
      <w:r w:rsidRPr="002243C8">
        <w:rPr>
          <w:rFonts w:ascii="Verdana" w:hAnsi="Verdana"/>
          <w:sz w:val="18"/>
          <w:szCs w:val="18"/>
        </w:rPr>
        <w:t xml:space="preserve">specifiek </w:t>
      </w:r>
      <w:r>
        <w:rPr>
          <w:rFonts w:ascii="Verdana" w:hAnsi="Verdana"/>
          <w:sz w:val="18"/>
          <w:szCs w:val="18"/>
        </w:rPr>
        <w:t>voor</w:t>
      </w:r>
      <w:r w:rsidRPr="002243C8">
        <w:rPr>
          <w:rFonts w:ascii="Verdana" w:hAnsi="Verdana"/>
          <w:sz w:val="18"/>
          <w:szCs w:val="18"/>
        </w:rPr>
        <w:t xml:space="preserve"> werkenden is in het huidige </w:t>
      </w:r>
      <w:r>
        <w:rPr>
          <w:rFonts w:ascii="Verdana" w:hAnsi="Verdana"/>
          <w:sz w:val="18"/>
          <w:szCs w:val="18"/>
        </w:rPr>
        <w:t xml:space="preserve">fiscaal </w:t>
      </w:r>
      <w:r w:rsidRPr="002243C8">
        <w:rPr>
          <w:rFonts w:ascii="Verdana" w:hAnsi="Verdana"/>
          <w:sz w:val="18"/>
          <w:szCs w:val="18"/>
        </w:rPr>
        <w:t>stelsel niet mogelijk</w:t>
      </w:r>
      <w:r>
        <w:rPr>
          <w:rFonts w:ascii="Verdana" w:hAnsi="Verdana"/>
          <w:sz w:val="18"/>
          <w:szCs w:val="18"/>
        </w:rPr>
        <w:t xml:space="preserve">. Daarom is een variant doorgerekend waarin het tarief in de eerste schijf </w:t>
      </w:r>
      <w:r w:rsidRPr="002243C8">
        <w:rPr>
          <w:rFonts w:ascii="Verdana" w:hAnsi="Verdana"/>
          <w:sz w:val="18"/>
          <w:szCs w:val="18"/>
        </w:rPr>
        <w:t>van de inkomstenbelasting</w:t>
      </w:r>
      <w:r>
        <w:rPr>
          <w:rFonts w:ascii="Verdana" w:hAnsi="Verdana"/>
          <w:sz w:val="18"/>
          <w:szCs w:val="18"/>
        </w:rPr>
        <w:t xml:space="preserve"> voor iedereen wordt verlaagd.</w:t>
      </w:r>
    </w:p>
    <w:p w:rsidR="003748C0" w:rsidP="003748C0" w:rsidRDefault="003748C0" w14:paraId="0F018653" w14:textId="77777777">
      <w:pPr>
        <w:pStyle w:val="Geenafstand"/>
        <w:rPr>
          <w:rFonts w:ascii="Verdana" w:hAnsi="Verdana"/>
          <w:sz w:val="18"/>
          <w:szCs w:val="18"/>
        </w:rPr>
      </w:pPr>
      <w:r>
        <w:rPr>
          <w:rFonts w:ascii="Verdana" w:hAnsi="Verdana"/>
          <w:sz w:val="18"/>
          <w:szCs w:val="18"/>
        </w:rPr>
        <w:t xml:space="preserve">Het afschaffen van de kinderopvangtoeslag voor mensen met een arbeidsinkomen boven het sociaal minimum heeft tot gevolg dat de meeste huishoudens geen aanspraak meer hebben op kinderopvangtoeslag. Structureel kan hiermee circa € 8,0 miljard op de kinderopvangtoeslag worden bespaard. Dit is zo’n </w:t>
      </w:r>
      <w:r w:rsidRPr="00141A83">
        <w:rPr>
          <w:rFonts w:ascii="Verdana" w:hAnsi="Verdana"/>
          <w:sz w:val="18"/>
          <w:szCs w:val="18"/>
        </w:rPr>
        <w:t>93%</w:t>
      </w:r>
      <w:r>
        <w:rPr>
          <w:rFonts w:ascii="Verdana" w:hAnsi="Verdana"/>
          <w:sz w:val="18"/>
          <w:szCs w:val="18"/>
        </w:rPr>
        <w:t xml:space="preserve"> van de totale uitgaven aan kinderopvangtoeslag. Van deze opbrengst kan het tarief in de eerste schijf van de inkomstenbelasting met 2,02%-punt worden verlaagd</w:t>
      </w:r>
      <w:r>
        <w:rPr>
          <w:rStyle w:val="Voetnootmarkering"/>
          <w:rFonts w:ascii="Verdana" w:hAnsi="Verdana"/>
          <w:sz w:val="18"/>
          <w:szCs w:val="18"/>
        </w:rPr>
        <w:footnoteReference w:id="5"/>
      </w:r>
      <w:r>
        <w:rPr>
          <w:rFonts w:ascii="Verdana" w:hAnsi="Verdana"/>
          <w:sz w:val="18"/>
          <w:szCs w:val="18"/>
        </w:rPr>
        <w:t xml:space="preserve">. </w:t>
      </w:r>
    </w:p>
    <w:p w:rsidR="003748C0" w:rsidP="003748C0" w:rsidRDefault="003748C0" w14:paraId="488ADA05" w14:textId="77777777">
      <w:pPr>
        <w:pStyle w:val="Geenafstand"/>
        <w:rPr>
          <w:rFonts w:ascii="Verdana" w:hAnsi="Verdana"/>
          <w:sz w:val="18"/>
          <w:szCs w:val="18"/>
        </w:rPr>
      </w:pPr>
    </w:p>
    <w:p w:rsidR="003748C0" w:rsidP="003748C0" w:rsidRDefault="003748C0" w14:paraId="11DAD0AE" w14:textId="77777777">
      <w:pPr>
        <w:pStyle w:val="Geenafstand"/>
        <w:rPr>
          <w:rFonts w:ascii="Verdana" w:hAnsi="Verdana"/>
          <w:sz w:val="18"/>
          <w:szCs w:val="18"/>
        </w:rPr>
      </w:pPr>
      <w:r>
        <w:rPr>
          <w:rFonts w:ascii="Verdana" w:hAnsi="Verdana"/>
          <w:sz w:val="18"/>
          <w:szCs w:val="18"/>
        </w:rPr>
        <w:t xml:space="preserve">Deze ingreep in het belasting- en toeslagenstelsel zorgt voor een grote herverdeling van inkomen van huishoudens met jonge kinderen naar huishoudens zonder jonge kinderen. Daarnaast leidt het tot een extreem hoge marginale druk voor werkenden met kinderopvangtoeslag en een belastbaar inkomen vlak onder het sociaal minimum: wanneer hun aantal arbeidsuren of uurloon iets toeneemt gaat het recht op kinderopvangtoeslag compleet verloren. Dit kan betekenen dat iemand 1 euro meer gaat verdienen en tienduizenden euro’s aan kinderopvangtoeslag verliest. Zo zou een gezin dat zich onder het sociale minimum bevindt met twee kinderen die twee dagen naar de dagopvang gaan, zo’n € 24.700 aan kinderopvangtoeslag per jaar verliezen wanneer het gezin boven het sociale minimum uit zou komen. </w:t>
      </w:r>
    </w:p>
    <w:p w:rsidRPr="00E9317E" w:rsidR="003748C0" w:rsidP="003748C0" w:rsidRDefault="003748C0" w14:paraId="1284550B" w14:textId="77777777">
      <w:pPr>
        <w:pStyle w:val="Geenafstand"/>
        <w:rPr>
          <w:rFonts w:ascii="Verdana" w:hAnsi="Verdana"/>
          <w:sz w:val="18"/>
          <w:szCs w:val="18"/>
        </w:rPr>
      </w:pPr>
    </w:p>
    <w:p w:rsidRPr="00E8561F" w:rsidR="003748C0" w:rsidP="003748C0" w:rsidRDefault="003748C0" w14:paraId="79BF3274" w14:textId="77777777">
      <w:pPr>
        <w:pStyle w:val="Geenafstand"/>
        <w:rPr>
          <w:rFonts w:ascii="Verdana" w:hAnsi="Verdana"/>
          <w:i/>
          <w:iCs/>
          <w:sz w:val="18"/>
          <w:szCs w:val="18"/>
        </w:rPr>
      </w:pPr>
      <w:r w:rsidRPr="00E8561F">
        <w:rPr>
          <w:rFonts w:ascii="Verdana" w:hAnsi="Verdana"/>
          <w:i/>
          <w:iCs/>
          <w:sz w:val="18"/>
          <w:szCs w:val="18"/>
        </w:rPr>
        <w:t>13.Met hoeveel procentpunt kan het tarief in de tweede schijf van de inkomstenbelasting (box 1) voor werkenden ceteris paribus worden verlaagd als de kinderopvangtoeslag wordt afgeschaft voor mensen met een arbeidsinkomen boven het sociaal minimum? Kunt u een toelichting geven op uw antwoord?</w:t>
      </w:r>
      <w:r w:rsidRPr="00E8561F">
        <w:rPr>
          <w:rFonts w:ascii="Verdana" w:hAnsi="Verdana"/>
          <w:i/>
          <w:iCs/>
          <w:sz w:val="18"/>
          <w:szCs w:val="18"/>
        </w:rPr>
        <w:br/>
      </w:r>
    </w:p>
    <w:p w:rsidR="003748C0" w:rsidP="003748C0" w:rsidRDefault="003748C0" w14:paraId="36FF7378" w14:textId="77777777">
      <w:pPr>
        <w:pStyle w:val="Geenafstand"/>
        <w:rPr>
          <w:rFonts w:ascii="Verdana" w:hAnsi="Verdana"/>
          <w:sz w:val="18"/>
          <w:szCs w:val="18"/>
        </w:rPr>
      </w:pPr>
      <w:r>
        <w:rPr>
          <w:rFonts w:ascii="Verdana" w:hAnsi="Verdana"/>
          <w:sz w:val="18"/>
          <w:szCs w:val="18"/>
        </w:rPr>
        <w:t xml:space="preserve">Een verlaging van het tarief in de tweede schijf </w:t>
      </w:r>
      <w:r w:rsidRPr="002243C8">
        <w:rPr>
          <w:rFonts w:ascii="Verdana" w:hAnsi="Verdana"/>
          <w:sz w:val="18"/>
          <w:szCs w:val="18"/>
        </w:rPr>
        <w:t>van de inkomstenbelasting</w:t>
      </w:r>
      <w:r>
        <w:rPr>
          <w:rFonts w:ascii="Verdana" w:hAnsi="Verdana"/>
          <w:sz w:val="18"/>
          <w:szCs w:val="18"/>
        </w:rPr>
        <w:t xml:space="preserve"> </w:t>
      </w:r>
      <w:r w:rsidRPr="002243C8">
        <w:rPr>
          <w:rFonts w:ascii="Verdana" w:hAnsi="Verdana"/>
          <w:sz w:val="18"/>
          <w:szCs w:val="18"/>
        </w:rPr>
        <w:t xml:space="preserve">specifiek </w:t>
      </w:r>
      <w:r>
        <w:rPr>
          <w:rFonts w:ascii="Verdana" w:hAnsi="Verdana"/>
          <w:sz w:val="18"/>
          <w:szCs w:val="18"/>
        </w:rPr>
        <w:t>voor</w:t>
      </w:r>
      <w:r w:rsidRPr="002243C8">
        <w:rPr>
          <w:rFonts w:ascii="Verdana" w:hAnsi="Verdana"/>
          <w:sz w:val="18"/>
          <w:szCs w:val="18"/>
        </w:rPr>
        <w:t xml:space="preserve"> werkenden is in het huidige </w:t>
      </w:r>
      <w:r>
        <w:rPr>
          <w:rFonts w:ascii="Verdana" w:hAnsi="Verdana"/>
          <w:sz w:val="18"/>
          <w:szCs w:val="18"/>
        </w:rPr>
        <w:t xml:space="preserve">fiscaal </w:t>
      </w:r>
      <w:r w:rsidRPr="002243C8">
        <w:rPr>
          <w:rFonts w:ascii="Verdana" w:hAnsi="Verdana"/>
          <w:sz w:val="18"/>
          <w:szCs w:val="18"/>
        </w:rPr>
        <w:t>stelsel niet mogelijk</w:t>
      </w:r>
      <w:r>
        <w:rPr>
          <w:rFonts w:ascii="Verdana" w:hAnsi="Verdana"/>
          <w:sz w:val="18"/>
          <w:szCs w:val="18"/>
        </w:rPr>
        <w:t xml:space="preserve">. Daarom is een variant doorgerekend waarin het tarief in de tweede schijf </w:t>
      </w:r>
      <w:r w:rsidRPr="002243C8">
        <w:rPr>
          <w:rFonts w:ascii="Verdana" w:hAnsi="Verdana"/>
          <w:sz w:val="18"/>
          <w:szCs w:val="18"/>
        </w:rPr>
        <w:t>van de inkomstenbelasting</w:t>
      </w:r>
      <w:r>
        <w:rPr>
          <w:rFonts w:ascii="Verdana" w:hAnsi="Verdana"/>
          <w:sz w:val="18"/>
          <w:szCs w:val="18"/>
        </w:rPr>
        <w:t xml:space="preserve"> voor iedereen wordt verlaagd.</w:t>
      </w:r>
    </w:p>
    <w:p w:rsidR="003748C0" w:rsidP="003748C0" w:rsidRDefault="003748C0" w14:paraId="00FD88A8" w14:textId="77777777">
      <w:pPr>
        <w:pStyle w:val="Geenafstand"/>
        <w:rPr>
          <w:rFonts w:ascii="Verdana" w:hAnsi="Verdana"/>
          <w:sz w:val="18"/>
          <w:szCs w:val="18"/>
        </w:rPr>
      </w:pPr>
      <w:r>
        <w:rPr>
          <w:rFonts w:ascii="Verdana" w:hAnsi="Verdana"/>
          <w:sz w:val="18"/>
          <w:szCs w:val="18"/>
        </w:rPr>
        <w:t xml:space="preserve">Het afschaffen van de kinderopvangtoeslag voor mensen met een arbeidsinkomen boven het sociaal minimum heeft tot gevolg dat de meeste huishoudens geen aanspraak meer hebben op kinderopvangtoeslag. Structureel kan hiermee circa € 8,0 miljard op de kinderopvangtoeslag worden bespaard. Dit is zo’n </w:t>
      </w:r>
      <w:r w:rsidRPr="00141A83">
        <w:rPr>
          <w:rFonts w:ascii="Verdana" w:hAnsi="Verdana"/>
          <w:sz w:val="18"/>
          <w:szCs w:val="18"/>
        </w:rPr>
        <w:t>93%</w:t>
      </w:r>
      <w:r>
        <w:rPr>
          <w:rFonts w:ascii="Verdana" w:hAnsi="Verdana"/>
          <w:sz w:val="18"/>
          <w:szCs w:val="18"/>
        </w:rPr>
        <w:t xml:space="preserve"> van de totale uitgaven aan kinderopvangtoeslag. Van deze opbrengst kan het tarief in de tweede schijf van de inkomstenbelasting </w:t>
      </w:r>
      <w:r w:rsidRPr="00152E95">
        <w:rPr>
          <w:rFonts w:ascii="Verdana" w:hAnsi="Verdana"/>
          <w:sz w:val="18"/>
          <w:szCs w:val="18"/>
        </w:rPr>
        <w:t>met 6,25%-punt worden</w:t>
      </w:r>
      <w:r>
        <w:rPr>
          <w:rFonts w:ascii="Verdana" w:hAnsi="Verdana"/>
          <w:sz w:val="18"/>
          <w:szCs w:val="18"/>
        </w:rPr>
        <w:t xml:space="preserve"> verlaagd</w:t>
      </w:r>
      <w:r>
        <w:rPr>
          <w:rStyle w:val="Voetnootmarkering"/>
          <w:rFonts w:ascii="Verdana" w:hAnsi="Verdana"/>
          <w:sz w:val="18"/>
          <w:szCs w:val="18"/>
        </w:rPr>
        <w:footnoteReference w:id="6"/>
      </w:r>
      <w:r>
        <w:rPr>
          <w:rFonts w:ascii="Verdana" w:hAnsi="Verdana"/>
          <w:sz w:val="18"/>
          <w:szCs w:val="18"/>
        </w:rPr>
        <w:t xml:space="preserve">. </w:t>
      </w:r>
      <w:r w:rsidRPr="00152E95">
        <w:rPr>
          <w:rFonts w:ascii="Verdana" w:hAnsi="Verdana"/>
          <w:sz w:val="18"/>
          <w:szCs w:val="18"/>
        </w:rPr>
        <w:t xml:space="preserve">Het </w:t>
      </w:r>
      <w:r>
        <w:rPr>
          <w:rFonts w:ascii="Verdana" w:hAnsi="Verdana"/>
          <w:sz w:val="18"/>
          <w:szCs w:val="18"/>
        </w:rPr>
        <w:t>enkel</w:t>
      </w:r>
      <w:r w:rsidRPr="00152E95">
        <w:rPr>
          <w:rFonts w:ascii="Verdana" w:hAnsi="Verdana"/>
          <w:sz w:val="18"/>
          <w:szCs w:val="18"/>
        </w:rPr>
        <w:t xml:space="preserve"> verlagen van het tarief tweede schijf zorgt ervoor dat </w:t>
      </w:r>
      <w:r>
        <w:rPr>
          <w:rFonts w:ascii="Verdana" w:hAnsi="Verdana"/>
          <w:sz w:val="18"/>
          <w:szCs w:val="18"/>
        </w:rPr>
        <w:t>dit tarief</w:t>
      </w:r>
      <w:r w:rsidRPr="00152E95">
        <w:rPr>
          <w:rFonts w:ascii="Verdana" w:hAnsi="Verdana"/>
          <w:sz w:val="18"/>
          <w:szCs w:val="18"/>
        </w:rPr>
        <w:t xml:space="preserve"> lager </w:t>
      </w:r>
      <w:r>
        <w:rPr>
          <w:rFonts w:ascii="Verdana" w:hAnsi="Verdana"/>
          <w:sz w:val="18"/>
          <w:szCs w:val="18"/>
        </w:rPr>
        <w:t>uitvalt</w:t>
      </w:r>
      <w:r w:rsidRPr="00152E95">
        <w:rPr>
          <w:rFonts w:ascii="Verdana" w:hAnsi="Verdana"/>
          <w:sz w:val="18"/>
          <w:szCs w:val="18"/>
        </w:rPr>
        <w:t xml:space="preserve"> dan dat van de </w:t>
      </w:r>
      <w:r>
        <w:rPr>
          <w:rFonts w:ascii="Verdana" w:hAnsi="Verdana"/>
          <w:sz w:val="18"/>
          <w:szCs w:val="18"/>
        </w:rPr>
        <w:t>eerste</w:t>
      </w:r>
      <w:r w:rsidRPr="00152E95">
        <w:rPr>
          <w:rFonts w:ascii="Verdana" w:hAnsi="Verdana"/>
          <w:sz w:val="18"/>
          <w:szCs w:val="18"/>
        </w:rPr>
        <w:t xml:space="preserve"> schijf.</w:t>
      </w:r>
      <w:r>
        <w:rPr>
          <w:rFonts w:ascii="Verdana" w:hAnsi="Verdana"/>
          <w:sz w:val="18"/>
          <w:szCs w:val="18"/>
        </w:rPr>
        <w:t xml:space="preserve"> Een gevolg hiervan zou zijn dat er een regressief belastingstelsel zou ontstaan, waarbij lagere inkomens zwaarder worden belast dan hogere inkomens. Huishoudens </w:t>
      </w:r>
      <w:r>
        <w:rPr>
          <w:rFonts w:ascii="Verdana" w:hAnsi="Verdana"/>
          <w:sz w:val="18"/>
          <w:szCs w:val="18"/>
        </w:rPr>
        <w:lastRenderedPageBreak/>
        <w:t>zouden naarmate ze meer verdienen en van de eerste schijf in de inkomstenbelasting in de tweede schijf belanden namelijk relatief minder belasting gaan betalen.</w:t>
      </w:r>
    </w:p>
    <w:p w:rsidR="003748C0" w:rsidP="003748C0" w:rsidRDefault="003748C0" w14:paraId="19704224" w14:textId="77777777">
      <w:pPr>
        <w:pStyle w:val="Geenafstand"/>
        <w:rPr>
          <w:rFonts w:ascii="Verdana" w:hAnsi="Verdana"/>
          <w:sz w:val="18"/>
          <w:szCs w:val="18"/>
        </w:rPr>
      </w:pPr>
    </w:p>
    <w:p w:rsidR="003748C0" w:rsidP="003748C0" w:rsidRDefault="003748C0" w14:paraId="02A61FE5" w14:textId="77777777">
      <w:pPr>
        <w:pStyle w:val="Geenafstand"/>
        <w:rPr>
          <w:rFonts w:ascii="Verdana" w:hAnsi="Verdana"/>
          <w:sz w:val="18"/>
          <w:szCs w:val="18"/>
        </w:rPr>
      </w:pPr>
      <w:r>
        <w:rPr>
          <w:rFonts w:ascii="Verdana" w:hAnsi="Verdana"/>
          <w:sz w:val="18"/>
          <w:szCs w:val="18"/>
        </w:rPr>
        <w:t xml:space="preserve">Deze ingreep in het belasting- en toeslagenstelsel zorgt voor een grote herverdeling van inkomen van huishoudens met jonge kinderen naar huishoudens zonder jonge kinderen. Daarnaast leidt het tot een extreem hoge marginale druk voor werkenden met kinderopvangtoeslag en een belastbaar inkomen vlak onder het sociaal minimum: wanneer hun aantal arbeidsuren of uurloon iets toeneemt gaat het recht op kinderopvangtoeslag compleet verloren. Dit kan betekenen dat iemand 1 euro meer gaat verdienen en tienduizenden euro’s aan kinderopvangtoeslag verliest. Zo zou een gezin dat zich onder het sociale minimum bevindt met twee kinderen die twee dagen naar de dagopvang gaan, zo’n € 24.700 aan kinderopvangtoeslag per jaar verliezen wanneer het gezin boven het sociale minimum uit zou komen. </w:t>
      </w:r>
    </w:p>
    <w:p w:rsidRPr="00E9317E" w:rsidR="003748C0" w:rsidP="003748C0" w:rsidRDefault="003748C0" w14:paraId="3A2257BD" w14:textId="77777777">
      <w:pPr>
        <w:pStyle w:val="Geenafstand"/>
        <w:rPr>
          <w:rFonts w:ascii="Verdana" w:hAnsi="Verdana"/>
          <w:sz w:val="18"/>
          <w:szCs w:val="18"/>
        </w:rPr>
      </w:pPr>
    </w:p>
    <w:p w:rsidRPr="00E8561F" w:rsidR="003748C0" w:rsidP="003748C0" w:rsidRDefault="003748C0" w14:paraId="528CD10E" w14:textId="77777777">
      <w:pPr>
        <w:pStyle w:val="Geenafstand"/>
        <w:rPr>
          <w:rFonts w:ascii="Verdana" w:hAnsi="Verdana"/>
          <w:i/>
          <w:iCs/>
          <w:sz w:val="18"/>
          <w:szCs w:val="18"/>
        </w:rPr>
      </w:pPr>
      <w:r w:rsidRPr="00E8561F">
        <w:rPr>
          <w:rFonts w:ascii="Verdana" w:hAnsi="Verdana"/>
          <w:i/>
          <w:iCs/>
          <w:sz w:val="18"/>
          <w:szCs w:val="18"/>
        </w:rPr>
        <w:t>14.Met hoeveel procentpunt kan het tarief in de derde schijf van de inkomstenbelasting (box 1) voor werkenden ceteris paribus worden verlaagd als de kinderopvangtoeslag wordt afgeschaft voor mensen met een arbeidsinkomen boven het sociaal minimum? Kunt u een toelichting geven op uw antwoord?</w:t>
      </w:r>
      <w:r w:rsidRPr="00E8561F">
        <w:rPr>
          <w:rFonts w:ascii="Verdana" w:hAnsi="Verdana"/>
          <w:i/>
          <w:iCs/>
          <w:sz w:val="18"/>
          <w:szCs w:val="18"/>
        </w:rPr>
        <w:br/>
      </w:r>
    </w:p>
    <w:p w:rsidR="003748C0" w:rsidP="003748C0" w:rsidRDefault="003748C0" w14:paraId="7F3CE1A5" w14:textId="77777777">
      <w:pPr>
        <w:pStyle w:val="Geenafstand"/>
        <w:rPr>
          <w:rFonts w:ascii="Verdana" w:hAnsi="Verdana"/>
          <w:sz w:val="18"/>
          <w:szCs w:val="18"/>
        </w:rPr>
      </w:pPr>
      <w:r>
        <w:rPr>
          <w:rFonts w:ascii="Verdana" w:hAnsi="Verdana"/>
          <w:sz w:val="18"/>
          <w:szCs w:val="18"/>
        </w:rPr>
        <w:t xml:space="preserve">Een verlaging van het tarief in de derde schijf </w:t>
      </w:r>
      <w:r w:rsidRPr="002243C8">
        <w:rPr>
          <w:rFonts w:ascii="Verdana" w:hAnsi="Verdana"/>
          <w:sz w:val="18"/>
          <w:szCs w:val="18"/>
        </w:rPr>
        <w:t>van de inkomstenbelasting</w:t>
      </w:r>
      <w:r>
        <w:rPr>
          <w:rFonts w:ascii="Verdana" w:hAnsi="Verdana"/>
          <w:sz w:val="18"/>
          <w:szCs w:val="18"/>
        </w:rPr>
        <w:t xml:space="preserve"> </w:t>
      </w:r>
      <w:r w:rsidRPr="002243C8">
        <w:rPr>
          <w:rFonts w:ascii="Verdana" w:hAnsi="Verdana"/>
          <w:sz w:val="18"/>
          <w:szCs w:val="18"/>
        </w:rPr>
        <w:t xml:space="preserve">specifiek </w:t>
      </w:r>
      <w:r>
        <w:rPr>
          <w:rFonts w:ascii="Verdana" w:hAnsi="Verdana"/>
          <w:sz w:val="18"/>
          <w:szCs w:val="18"/>
        </w:rPr>
        <w:t>voor</w:t>
      </w:r>
      <w:r w:rsidRPr="002243C8">
        <w:rPr>
          <w:rFonts w:ascii="Verdana" w:hAnsi="Verdana"/>
          <w:sz w:val="18"/>
          <w:szCs w:val="18"/>
        </w:rPr>
        <w:t xml:space="preserve"> werkenden is in het huidige </w:t>
      </w:r>
      <w:r>
        <w:rPr>
          <w:rFonts w:ascii="Verdana" w:hAnsi="Verdana"/>
          <w:sz w:val="18"/>
          <w:szCs w:val="18"/>
        </w:rPr>
        <w:t xml:space="preserve">fiscaal </w:t>
      </w:r>
      <w:r w:rsidRPr="002243C8">
        <w:rPr>
          <w:rFonts w:ascii="Verdana" w:hAnsi="Verdana"/>
          <w:sz w:val="18"/>
          <w:szCs w:val="18"/>
        </w:rPr>
        <w:t>stelsel niet mogelijk</w:t>
      </w:r>
      <w:r>
        <w:rPr>
          <w:rFonts w:ascii="Verdana" w:hAnsi="Verdana"/>
          <w:sz w:val="18"/>
          <w:szCs w:val="18"/>
        </w:rPr>
        <w:t xml:space="preserve">. Daarom is een variant doorgerekend waarin het tarief in de derde schijf </w:t>
      </w:r>
      <w:r w:rsidRPr="002243C8">
        <w:rPr>
          <w:rFonts w:ascii="Verdana" w:hAnsi="Verdana"/>
          <w:sz w:val="18"/>
          <w:szCs w:val="18"/>
        </w:rPr>
        <w:t>van de inkomstenbelasting</w:t>
      </w:r>
      <w:r>
        <w:rPr>
          <w:rFonts w:ascii="Verdana" w:hAnsi="Verdana"/>
          <w:sz w:val="18"/>
          <w:szCs w:val="18"/>
        </w:rPr>
        <w:t xml:space="preserve"> voor iedereen wordt verlaagd. Het afschaffen van de kinderopvangtoeslag voor mensen met een arbeidsinkomen boven het sociaal minimum heeft tot gevolg dat de meeste huishoudens geen aanspraak meer hebben op kinderopvangtoeslag. Structureel kan hiermee circa € 8,0 miljard op de kinderopvangtoeslag worden bespaard. Dit is zo’n </w:t>
      </w:r>
      <w:r w:rsidRPr="00141A83">
        <w:rPr>
          <w:rFonts w:ascii="Verdana" w:hAnsi="Verdana"/>
          <w:sz w:val="18"/>
          <w:szCs w:val="18"/>
        </w:rPr>
        <w:t>93%</w:t>
      </w:r>
      <w:r>
        <w:rPr>
          <w:rFonts w:ascii="Verdana" w:hAnsi="Verdana"/>
          <w:sz w:val="18"/>
          <w:szCs w:val="18"/>
        </w:rPr>
        <w:t xml:space="preserve"> van de totale uitgaven aan kinderopvangtoeslag. Van deze opbrengst kan het tarief in de derde schijf van de </w:t>
      </w:r>
      <w:r w:rsidRPr="00152E95">
        <w:rPr>
          <w:rFonts w:ascii="Verdana" w:hAnsi="Verdana"/>
          <w:sz w:val="18"/>
          <w:szCs w:val="18"/>
        </w:rPr>
        <w:t>inkomstenbelasting met 16,54%-punt worden</w:t>
      </w:r>
      <w:r>
        <w:rPr>
          <w:rFonts w:ascii="Verdana" w:hAnsi="Verdana"/>
          <w:sz w:val="18"/>
          <w:szCs w:val="18"/>
        </w:rPr>
        <w:t xml:space="preserve"> verlaagd.</w:t>
      </w:r>
      <w:r w:rsidRPr="00152E95">
        <w:rPr>
          <w:rFonts w:ascii="Verdana" w:hAnsi="Verdana"/>
          <w:sz w:val="18"/>
          <w:szCs w:val="18"/>
        </w:rPr>
        <w:t xml:space="preserve"> Het </w:t>
      </w:r>
      <w:r>
        <w:rPr>
          <w:rFonts w:ascii="Verdana" w:hAnsi="Verdana"/>
          <w:sz w:val="18"/>
          <w:szCs w:val="18"/>
        </w:rPr>
        <w:t>enkel</w:t>
      </w:r>
      <w:r w:rsidRPr="00152E95">
        <w:rPr>
          <w:rFonts w:ascii="Verdana" w:hAnsi="Verdana"/>
          <w:sz w:val="18"/>
          <w:szCs w:val="18"/>
        </w:rPr>
        <w:t xml:space="preserve"> verlagen van het tarief </w:t>
      </w:r>
      <w:r>
        <w:rPr>
          <w:rFonts w:ascii="Verdana" w:hAnsi="Verdana"/>
          <w:sz w:val="18"/>
          <w:szCs w:val="18"/>
        </w:rPr>
        <w:t>derde</w:t>
      </w:r>
      <w:r w:rsidRPr="00152E95">
        <w:rPr>
          <w:rFonts w:ascii="Verdana" w:hAnsi="Verdana"/>
          <w:sz w:val="18"/>
          <w:szCs w:val="18"/>
        </w:rPr>
        <w:t xml:space="preserve"> schijf zorgt ervoor dat </w:t>
      </w:r>
      <w:r>
        <w:rPr>
          <w:rFonts w:ascii="Verdana" w:hAnsi="Verdana"/>
          <w:sz w:val="18"/>
          <w:szCs w:val="18"/>
        </w:rPr>
        <w:t>dit tarief</w:t>
      </w:r>
      <w:r w:rsidRPr="00152E95">
        <w:rPr>
          <w:rFonts w:ascii="Verdana" w:hAnsi="Verdana"/>
          <w:sz w:val="18"/>
          <w:szCs w:val="18"/>
        </w:rPr>
        <w:t xml:space="preserve"> lager </w:t>
      </w:r>
      <w:r>
        <w:rPr>
          <w:rFonts w:ascii="Verdana" w:hAnsi="Verdana"/>
          <w:sz w:val="18"/>
          <w:szCs w:val="18"/>
        </w:rPr>
        <w:t>uitvalt</w:t>
      </w:r>
      <w:r w:rsidRPr="00152E95">
        <w:rPr>
          <w:rFonts w:ascii="Verdana" w:hAnsi="Verdana"/>
          <w:sz w:val="18"/>
          <w:szCs w:val="18"/>
        </w:rPr>
        <w:t xml:space="preserve"> dan dat van de </w:t>
      </w:r>
      <w:r>
        <w:rPr>
          <w:rFonts w:ascii="Verdana" w:hAnsi="Verdana"/>
          <w:sz w:val="18"/>
          <w:szCs w:val="18"/>
        </w:rPr>
        <w:t>eerste en tweede</w:t>
      </w:r>
      <w:r w:rsidRPr="00152E95">
        <w:rPr>
          <w:rFonts w:ascii="Verdana" w:hAnsi="Verdana"/>
          <w:sz w:val="18"/>
          <w:szCs w:val="18"/>
        </w:rPr>
        <w:t xml:space="preserve"> </w:t>
      </w:r>
      <w:r>
        <w:rPr>
          <w:rFonts w:ascii="Verdana" w:hAnsi="Verdana"/>
          <w:sz w:val="18"/>
          <w:szCs w:val="18"/>
        </w:rPr>
        <w:t>schijven</w:t>
      </w:r>
      <w:r w:rsidRPr="00152E95">
        <w:rPr>
          <w:rFonts w:ascii="Verdana" w:hAnsi="Verdana"/>
          <w:sz w:val="18"/>
          <w:szCs w:val="18"/>
        </w:rPr>
        <w:t xml:space="preserve">. </w:t>
      </w:r>
      <w:r>
        <w:rPr>
          <w:rFonts w:ascii="Verdana" w:hAnsi="Verdana"/>
          <w:sz w:val="18"/>
          <w:szCs w:val="18"/>
        </w:rPr>
        <w:t>Een gevolg hiervan zou zijn dat er een regressief belastingstelsel zou ontstaan, waarbij lagere inkomens zwaarder worden belast dan hogere inkomens. Huishoudens zouden naarmate ze meer verdienen en van de tweede schijf in de inkomstenbelasting in de derde schijf belanden namelijk relatief minder belasting gaan betalen.</w:t>
      </w:r>
      <w:r w:rsidRPr="00152E95">
        <w:rPr>
          <w:rFonts w:ascii="Verdana" w:hAnsi="Verdana"/>
          <w:sz w:val="18"/>
          <w:szCs w:val="18"/>
        </w:rPr>
        <w:t>  </w:t>
      </w:r>
    </w:p>
    <w:p w:rsidRPr="00901120" w:rsidR="003748C0" w:rsidP="003748C0" w:rsidRDefault="003748C0" w14:paraId="5DA975CB" w14:textId="77777777">
      <w:pPr>
        <w:pStyle w:val="Geenafstand"/>
        <w:rPr>
          <w:rFonts w:ascii="Verdana" w:hAnsi="Verdana"/>
          <w:i/>
          <w:iCs/>
          <w:sz w:val="18"/>
          <w:szCs w:val="18"/>
        </w:rPr>
      </w:pPr>
    </w:p>
    <w:p w:rsidR="003748C0" w:rsidP="003748C0" w:rsidRDefault="003748C0" w14:paraId="4918DA84" w14:textId="77777777">
      <w:pPr>
        <w:pStyle w:val="Geenafstand"/>
        <w:rPr>
          <w:rFonts w:ascii="Verdana" w:hAnsi="Verdana"/>
          <w:sz w:val="18"/>
          <w:szCs w:val="18"/>
        </w:rPr>
      </w:pPr>
      <w:r>
        <w:rPr>
          <w:rFonts w:ascii="Verdana" w:hAnsi="Verdana"/>
          <w:sz w:val="18"/>
          <w:szCs w:val="18"/>
        </w:rPr>
        <w:t xml:space="preserve">Deze ingreep in het belasting- en toeslagenstelsel zorgt voor een grote herverdeling van inkomen van huishoudens met jonge kinderen naar huishoudens zonder jonge kinderen en een hoog inkomen. Daarnaast leidt het tot een extreem hoge marginale druk voor werkenden met kinderopvangtoeslag en een belastbaar inkomen vlak onder het sociaal minimum: wanneer hun aantal arbeidsuren of uurloon iets toeneemt gaat het recht op kinderopvangtoeslag compleet verloren. Dit kan betekenen dat iemand 1 euro meer gaat verdienen en tienduizenden euro’s aan kinderopvangtoeslag verliest. Zo zou een gezin dat zich onder het sociale minimum bevindt met twee kinderen die twee dagen naar de dagopvang gaan, zo’n € 24.700 aan kinderopvangtoeslag per jaar verliezen wanneer het gezin boven het sociale minimum uit zou komen. </w:t>
      </w:r>
    </w:p>
    <w:p w:rsidRPr="00E9317E" w:rsidR="003748C0" w:rsidP="003748C0" w:rsidRDefault="003748C0" w14:paraId="5983D7C3" w14:textId="77777777">
      <w:pPr>
        <w:pStyle w:val="Geenafstand"/>
        <w:rPr>
          <w:rFonts w:ascii="Verdana" w:hAnsi="Verdana"/>
          <w:sz w:val="18"/>
          <w:szCs w:val="18"/>
        </w:rPr>
      </w:pPr>
    </w:p>
    <w:p w:rsidRPr="00006BD2" w:rsidR="003748C0" w:rsidP="003748C0" w:rsidRDefault="003748C0" w14:paraId="31F93D91" w14:textId="77777777">
      <w:pPr>
        <w:pStyle w:val="Geenafstand"/>
        <w:rPr>
          <w:rFonts w:ascii="Verdana" w:hAnsi="Verdana"/>
          <w:i/>
          <w:iCs/>
          <w:sz w:val="18"/>
          <w:szCs w:val="18"/>
        </w:rPr>
      </w:pPr>
      <w:r w:rsidRPr="00006BD2">
        <w:rPr>
          <w:rFonts w:ascii="Verdana" w:hAnsi="Verdana"/>
          <w:i/>
          <w:iCs/>
          <w:sz w:val="18"/>
          <w:szCs w:val="18"/>
        </w:rPr>
        <w:t>15.</w:t>
      </w:r>
      <w:r>
        <w:rPr>
          <w:rFonts w:ascii="Verdana" w:hAnsi="Verdana"/>
          <w:i/>
          <w:iCs/>
          <w:sz w:val="18"/>
          <w:szCs w:val="18"/>
        </w:rPr>
        <w:t xml:space="preserve"> </w:t>
      </w:r>
      <w:r w:rsidRPr="00006BD2">
        <w:rPr>
          <w:rFonts w:ascii="Verdana" w:hAnsi="Verdana"/>
          <w:i/>
          <w:iCs/>
          <w:sz w:val="18"/>
          <w:szCs w:val="18"/>
        </w:rPr>
        <w:t>In welke mate leidt een afschaffing van de kinderopvangtoeslag en een gelijktijdige verhoging van de arbeidskorting met hetzelfde bedrag tot veranderingen in de arbeidsparticipatie? Kunt u een toelichting geven op uw antwoord?</w:t>
      </w:r>
    </w:p>
    <w:p w:rsidR="003748C0" w:rsidP="003748C0" w:rsidRDefault="003748C0" w14:paraId="41BBA277" w14:textId="77777777">
      <w:pPr>
        <w:pStyle w:val="Geenafstand"/>
        <w:rPr>
          <w:rFonts w:ascii="Verdana" w:hAnsi="Verdana"/>
          <w:sz w:val="18"/>
          <w:szCs w:val="18"/>
        </w:rPr>
      </w:pPr>
    </w:p>
    <w:p w:rsidRPr="00732F86" w:rsidR="003748C0" w:rsidP="003748C0" w:rsidRDefault="003748C0" w14:paraId="56549150" w14:textId="77777777">
      <w:pPr>
        <w:pStyle w:val="Geenafstand"/>
        <w:rPr>
          <w:rFonts w:ascii="Verdana" w:hAnsi="Verdana"/>
          <w:sz w:val="18"/>
          <w:szCs w:val="18"/>
        </w:rPr>
      </w:pPr>
      <w:r>
        <w:rPr>
          <w:rFonts w:ascii="Verdana" w:hAnsi="Verdana"/>
          <w:sz w:val="18"/>
          <w:szCs w:val="18"/>
        </w:rPr>
        <w:t>De kinderopvangtoeslag is een gerichte vorm van ondersteuning in de kosten van kinderopvang zodat ouders werk kunnen combineren met de zorg voor hun kinderen. Het aantal werkende ouders is per definitie kleiner dan het totaal aantal werkenden. Het afschaffen van de kinderopvangtoeslag voor werkende ouders zal dus tot een kleinere verhoging van de arbeidskorting voor alle werkenden leiden. De verwachting is daarom dat de negatieve effecten op arbeidsparticipatie van het afschaffen van de kinderopvangtoeslag groter zijn dan de eventuele positieve arbeidsparticipatie-effecten van het verhogen van de arbeidskorting.</w:t>
      </w:r>
    </w:p>
    <w:p w:rsidRPr="00E9317E" w:rsidR="003748C0" w:rsidP="003748C0" w:rsidRDefault="003748C0" w14:paraId="05577AFD" w14:textId="77777777">
      <w:pPr>
        <w:pStyle w:val="Geenafstand"/>
        <w:rPr>
          <w:rFonts w:ascii="Verdana" w:hAnsi="Verdana"/>
          <w:sz w:val="18"/>
          <w:szCs w:val="18"/>
        </w:rPr>
      </w:pPr>
    </w:p>
    <w:p w:rsidRPr="00006BD2" w:rsidR="003748C0" w:rsidP="003748C0" w:rsidRDefault="003748C0" w14:paraId="0815F5FC" w14:textId="77777777">
      <w:pPr>
        <w:rPr>
          <w:rFonts w:ascii="Verdana" w:hAnsi="Verdana"/>
          <w:i/>
          <w:iCs/>
          <w:sz w:val="18"/>
          <w:szCs w:val="18"/>
        </w:rPr>
      </w:pPr>
      <w:r w:rsidRPr="00006BD2">
        <w:rPr>
          <w:rFonts w:ascii="Verdana" w:hAnsi="Verdana"/>
          <w:i/>
          <w:iCs/>
          <w:sz w:val="18"/>
          <w:szCs w:val="18"/>
        </w:rPr>
        <w:t>16.Kunt u deze vragen vóór Prinsjesdag beantwoorden?</w:t>
      </w:r>
    </w:p>
    <w:p w:rsidRPr="00901120" w:rsidR="003748C0" w:rsidP="003748C0" w:rsidRDefault="003748C0" w14:paraId="4D8A6F41" w14:textId="77777777">
      <w:pPr>
        <w:rPr>
          <w:rFonts w:ascii="Verdana" w:hAnsi="Verdana"/>
          <w:sz w:val="18"/>
          <w:szCs w:val="18"/>
        </w:rPr>
      </w:pPr>
      <w:r>
        <w:rPr>
          <w:rFonts w:ascii="Verdana" w:hAnsi="Verdana"/>
          <w:sz w:val="18"/>
          <w:szCs w:val="18"/>
        </w:rPr>
        <w:t>Ja.</w:t>
      </w:r>
      <w:r>
        <w:rPr>
          <w:rFonts w:ascii="Verdana" w:hAnsi="Verdana"/>
          <w:sz w:val="18"/>
          <w:szCs w:val="18"/>
        </w:rPr>
        <w:br/>
      </w:r>
      <w:r>
        <w:rPr>
          <w:rFonts w:ascii="Verdana" w:hAnsi="Verdana"/>
          <w:sz w:val="18"/>
          <w:szCs w:val="18"/>
        </w:rPr>
        <w:br/>
      </w:r>
    </w:p>
    <w:p w:rsidR="00C84F63" w:rsidRDefault="00C84F63" w14:paraId="52DAFEFB" w14:textId="77777777"/>
    <w:sectPr w:rsidR="00C84F6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ACCB" w14:textId="77777777" w:rsidR="00224296" w:rsidRDefault="00224296" w:rsidP="003748C0">
      <w:pPr>
        <w:spacing w:after="0" w:line="240" w:lineRule="auto"/>
      </w:pPr>
      <w:r>
        <w:separator/>
      </w:r>
    </w:p>
  </w:endnote>
  <w:endnote w:type="continuationSeparator" w:id="0">
    <w:p w14:paraId="678822B2" w14:textId="77777777" w:rsidR="00224296" w:rsidRDefault="00224296" w:rsidP="00374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96A6" w14:textId="77777777" w:rsidR="003748C0" w:rsidRPr="003748C0" w:rsidRDefault="003748C0" w:rsidP="003748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05D0" w14:textId="77777777" w:rsidR="003748C0" w:rsidRPr="003748C0" w:rsidRDefault="003748C0" w:rsidP="003748C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05B8" w14:textId="77777777" w:rsidR="003748C0" w:rsidRPr="003748C0" w:rsidRDefault="003748C0" w:rsidP="003748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EA05C" w14:textId="77777777" w:rsidR="00224296" w:rsidRDefault="00224296" w:rsidP="003748C0">
      <w:pPr>
        <w:spacing w:after="0" w:line="240" w:lineRule="auto"/>
      </w:pPr>
      <w:r>
        <w:separator/>
      </w:r>
    </w:p>
  </w:footnote>
  <w:footnote w:type="continuationSeparator" w:id="0">
    <w:p w14:paraId="597A01C1" w14:textId="77777777" w:rsidR="00224296" w:rsidRDefault="00224296" w:rsidP="003748C0">
      <w:pPr>
        <w:spacing w:after="0" w:line="240" w:lineRule="auto"/>
      </w:pPr>
      <w:r>
        <w:continuationSeparator/>
      </w:r>
    </w:p>
  </w:footnote>
  <w:footnote w:id="1">
    <w:p w14:paraId="3B11E418" w14:textId="77777777" w:rsidR="003748C0" w:rsidRDefault="003748C0" w:rsidP="003748C0">
      <w:pPr>
        <w:pStyle w:val="Voetnoottekst"/>
      </w:pPr>
      <w:r w:rsidRPr="00D2569F">
        <w:rPr>
          <w:rStyle w:val="Voetnootmarkering"/>
          <w:sz w:val="16"/>
          <w:szCs w:val="16"/>
        </w:rPr>
        <w:footnoteRef/>
      </w:r>
      <w:r w:rsidRPr="00D2569F">
        <w:rPr>
          <w:sz w:val="16"/>
          <w:szCs w:val="16"/>
        </w:rPr>
        <w:t xml:space="preserve"> https://www.rijksoverheid.nl/themas/belastingen-uitkeringen-en-toeslagen/kinderopvangtoeslag/bedragen-kinderopvangtoeslag-2026</w:t>
      </w:r>
    </w:p>
  </w:footnote>
  <w:footnote w:id="2">
    <w:p w14:paraId="38683566" w14:textId="77777777" w:rsidR="003748C0" w:rsidRDefault="003748C0" w:rsidP="003748C0">
      <w:pPr>
        <w:pStyle w:val="Voetnoottekst"/>
      </w:pPr>
      <w:r w:rsidRPr="004B0EBF">
        <w:rPr>
          <w:rStyle w:val="Voetnootmarkering"/>
          <w:sz w:val="16"/>
          <w:szCs w:val="16"/>
        </w:rPr>
        <w:footnoteRef/>
      </w:r>
      <w:r w:rsidRPr="004B0EBF">
        <w:rPr>
          <w:sz w:val="16"/>
          <w:szCs w:val="16"/>
        </w:rPr>
        <w:t xml:space="preserve"> Kamerstukken 2024–2025, 36 708, nr. 13</w:t>
      </w:r>
    </w:p>
  </w:footnote>
  <w:footnote w:id="3">
    <w:p w14:paraId="10D56B3D" w14:textId="77777777" w:rsidR="003748C0" w:rsidRPr="001D7560" w:rsidRDefault="003748C0" w:rsidP="003748C0">
      <w:pPr>
        <w:pStyle w:val="Voetnoottekst"/>
        <w:rPr>
          <w:sz w:val="16"/>
          <w:szCs w:val="16"/>
        </w:rPr>
      </w:pPr>
      <w:r w:rsidRPr="001D7560">
        <w:rPr>
          <w:rStyle w:val="Voetnootmarkering"/>
          <w:sz w:val="16"/>
          <w:szCs w:val="16"/>
        </w:rPr>
        <w:footnoteRef/>
      </w:r>
      <w:r w:rsidRPr="001D7560">
        <w:rPr>
          <w:sz w:val="16"/>
          <w:szCs w:val="16"/>
        </w:rPr>
        <w:t xml:space="preserve"> https://www.rijksoverheid.nl/themas/belastingen-uitkeringen-en-toeslagen/kinderopvangtoeslag/bedragen-kinderopvangtoeslag-2026</w:t>
      </w:r>
    </w:p>
  </w:footnote>
  <w:footnote w:id="4">
    <w:p w14:paraId="667FCD30" w14:textId="77777777" w:rsidR="003748C0" w:rsidRPr="0021521E" w:rsidRDefault="003748C0" w:rsidP="003748C0">
      <w:pPr>
        <w:pStyle w:val="Voetnoottekst"/>
        <w:rPr>
          <w:sz w:val="16"/>
          <w:szCs w:val="16"/>
        </w:rPr>
      </w:pPr>
      <w:r w:rsidRPr="0021521E">
        <w:rPr>
          <w:rStyle w:val="Voetnootmarkering"/>
          <w:sz w:val="16"/>
          <w:szCs w:val="16"/>
        </w:rPr>
        <w:footnoteRef/>
      </w:r>
      <w:r w:rsidRPr="0021521E">
        <w:rPr>
          <w:sz w:val="16"/>
          <w:szCs w:val="16"/>
        </w:rPr>
        <w:t xml:space="preserve"> Kamerstukken II, 2024/25, 31 322, nr. 559.</w:t>
      </w:r>
    </w:p>
  </w:footnote>
  <w:footnote w:id="5">
    <w:p w14:paraId="4FEF95F5" w14:textId="77777777" w:rsidR="003748C0" w:rsidRPr="00152E95" w:rsidRDefault="003748C0" w:rsidP="003748C0">
      <w:pPr>
        <w:pStyle w:val="Voetnoottekst"/>
        <w:rPr>
          <w:sz w:val="16"/>
          <w:szCs w:val="16"/>
        </w:rPr>
      </w:pPr>
      <w:r>
        <w:rPr>
          <w:rStyle w:val="Voetnootmarkering"/>
        </w:rPr>
        <w:footnoteRef/>
      </w:r>
      <w:r>
        <w:t xml:space="preserve"> </w:t>
      </w:r>
      <w:r w:rsidRPr="00152E95">
        <w:rPr>
          <w:sz w:val="16"/>
          <w:szCs w:val="16"/>
        </w:rPr>
        <w:t>Het tarief in de eerste schijf pakt in de structurele situatie anders uit dan in eerdere jaren door de houdbaarheidsbijdrage.</w:t>
      </w:r>
    </w:p>
  </w:footnote>
  <w:footnote w:id="6">
    <w:p w14:paraId="3558CAF2" w14:textId="77777777" w:rsidR="003748C0" w:rsidRDefault="003748C0" w:rsidP="003748C0">
      <w:pPr>
        <w:pStyle w:val="Voetnoottekst"/>
      </w:pPr>
      <w:r>
        <w:rPr>
          <w:rStyle w:val="Voetnootmarkering"/>
        </w:rPr>
        <w:footnoteRef/>
      </w:r>
      <w:r>
        <w:t xml:space="preserve"> </w:t>
      </w:r>
      <w:r w:rsidRPr="00152E95">
        <w:rPr>
          <w:sz w:val="16"/>
          <w:szCs w:val="16"/>
        </w:rPr>
        <w:t xml:space="preserve">Het tarief in de </w:t>
      </w:r>
      <w:r>
        <w:rPr>
          <w:sz w:val="16"/>
          <w:szCs w:val="16"/>
        </w:rPr>
        <w:t>tweede</w:t>
      </w:r>
      <w:r w:rsidRPr="00152E95">
        <w:rPr>
          <w:sz w:val="16"/>
          <w:szCs w:val="16"/>
        </w:rPr>
        <w:t xml:space="preserve"> schijf pakt in de structurele situatie anders uit dan in eerdere jaren door de houdbaarheidsbijdrage.</w:t>
      </w:r>
    </w:p>
    <w:p w14:paraId="2A6E71D1" w14:textId="77777777" w:rsidR="003748C0" w:rsidRDefault="003748C0" w:rsidP="003748C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15066" w14:textId="77777777" w:rsidR="003748C0" w:rsidRPr="003748C0" w:rsidRDefault="003748C0" w:rsidP="003748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FCF9" w14:textId="77777777" w:rsidR="003748C0" w:rsidRPr="003748C0" w:rsidRDefault="003748C0" w:rsidP="003748C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BDCB" w14:textId="77777777" w:rsidR="003748C0" w:rsidRPr="003748C0" w:rsidRDefault="003748C0" w:rsidP="003748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C3CB6"/>
    <w:multiLevelType w:val="hybridMultilevel"/>
    <w:tmpl w:val="EF701F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4398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8C0"/>
    <w:rsid w:val="0020363F"/>
    <w:rsid w:val="00224296"/>
    <w:rsid w:val="003748C0"/>
    <w:rsid w:val="00C84F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5A29"/>
  <w15:chartTrackingRefBased/>
  <w15:docId w15:val="{C11A5635-C7EE-4C52-B6D5-A88B7719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48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748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748C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748C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748C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748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48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48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48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48C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748C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748C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748C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748C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748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48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48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48C0"/>
    <w:rPr>
      <w:rFonts w:eastAsiaTheme="majorEastAsia" w:cstheme="majorBidi"/>
      <w:color w:val="272727" w:themeColor="text1" w:themeTint="D8"/>
    </w:rPr>
  </w:style>
  <w:style w:type="paragraph" w:styleId="Titel">
    <w:name w:val="Title"/>
    <w:basedOn w:val="Standaard"/>
    <w:next w:val="Standaard"/>
    <w:link w:val="TitelChar"/>
    <w:uiPriority w:val="10"/>
    <w:qFormat/>
    <w:rsid w:val="00374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48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48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48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48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748C0"/>
    <w:rPr>
      <w:i/>
      <w:iCs/>
      <w:color w:val="404040" w:themeColor="text1" w:themeTint="BF"/>
    </w:rPr>
  </w:style>
  <w:style w:type="paragraph" w:styleId="Lijstalinea">
    <w:name w:val="List Paragraph"/>
    <w:basedOn w:val="Standaard"/>
    <w:uiPriority w:val="34"/>
    <w:qFormat/>
    <w:rsid w:val="003748C0"/>
    <w:pPr>
      <w:ind w:left="720"/>
      <w:contextualSpacing/>
    </w:pPr>
  </w:style>
  <w:style w:type="character" w:styleId="Intensievebenadrukking">
    <w:name w:val="Intense Emphasis"/>
    <w:basedOn w:val="Standaardalinea-lettertype"/>
    <w:uiPriority w:val="21"/>
    <w:qFormat/>
    <w:rsid w:val="003748C0"/>
    <w:rPr>
      <w:i/>
      <w:iCs/>
      <w:color w:val="2F5496" w:themeColor="accent1" w:themeShade="BF"/>
    </w:rPr>
  </w:style>
  <w:style w:type="paragraph" w:styleId="Duidelijkcitaat">
    <w:name w:val="Intense Quote"/>
    <w:basedOn w:val="Standaard"/>
    <w:next w:val="Standaard"/>
    <w:link w:val="DuidelijkcitaatChar"/>
    <w:uiPriority w:val="30"/>
    <w:qFormat/>
    <w:rsid w:val="003748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748C0"/>
    <w:rPr>
      <w:i/>
      <w:iCs/>
      <w:color w:val="2F5496" w:themeColor="accent1" w:themeShade="BF"/>
    </w:rPr>
  </w:style>
  <w:style w:type="character" w:styleId="Intensieveverwijzing">
    <w:name w:val="Intense Reference"/>
    <w:basedOn w:val="Standaardalinea-lettertype"/>
    <w:uiPriority w:val="32"/>
    <w:qFormat/>
    <w:rsid w:val="003748C0"/>
    <w:rPr>
      <w:b/>
      <w:bCs/>
      <w:smallCaps/>
      <w:color w:val="2F5496" w:themeColor="accent1" w:themeShade="BF"/>
      <w:spacing w:val="5"/>
    </w:rPr>
  </w:style>
  <w:style w:type="paragraph" w:styleId="Geenafstand">
    <w:name w:val="No Spacing"/>
    <w:uiPriority w:val="1"/>
    <w:qFormat/>
    <w:rsid w:val="003748C0"/>
    <w:pPr>
      <w:spacing w:after="0" w:line="240" w:lineRule="auto"/>
    </w:pPr>
  </w:style>
  <w:style w:type="paragraph" w:styleId="Voetnoottekst">
    <w:name w:val="footnote text"/>
    <w:basedOn w:val="Standaard"/>
    <w:link w:val="VoetnoottekstChar"/>
    <w:uiPriority w:val="99"/>
    <w:semiHidden/>
    <w:unhideWhenUsed/>
    <w:rsid w:val="003748C0"/>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3748C0"/>
    <w:rPr>
      <w:rFonts w:ascii="Verdana" w:hAnsi="Verdana"/>
      <w:sz w:val="20"/>
      <w:szCs w:val="20"/>
    </w:rPr>
  </w:style>
  <w:style w:type="character" w:styleId="Voetnootmarkering">
    <w:name w:val="footnote reference"/>
    <w:basedOn w:val="Standaardalinea-lettertype"/>
    <w:uiPriority w:val="99"/>
    <w:semiHidden/>
    <w:unhideWhenUsed/>
    <w:rsid w:val="003748C0"/>
    <w:rPr>
      <w:vertAlign w:val="superscript"/>
    </w:rPr>
  </w:style>
  <w:style w:type="paragraph" w:styleId="Koptekst">
    <w:name w:val="header"/>
    <w:basedOn w:val="Standaard"/>
    <w:link w:val="KoptekstChar"/>
    <w:uiPriority w:val="99"/>
    <w:unhideWhenUsed/>
    <w:rsid w:val="003748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48C0"/>
  </w:style>
  <w:style w:type="paragraph" w:styleId="Voettekst">
    <w:name w:val="footer"/>
    <w:basedOn w:val="Standaard"/>
    <w:link w:val="VoettekstChar"/>
    <w:uiPriority w:val="99"/>
    <w:unhideWhenUsed/>
    <w:rsid w:val="003748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4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3543</ap:Words>
  <ap:Characters>19492</ap:Characters>
  <ap:DocSecurity>0</ap:DocSecurity>
  <ap:Lines>162</ap:Lines>
  <ap:Paragraphs>45</ap:Paragraphs>
  <ap:ScaleCrop>false</ap:ScaleCrop>
  <ap:LinksUpToDate>false</ap:LinksUpToDate>
  <ap:CharactersWithSpaces>22990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2026-09-03T14:15:00.0000000Z</dcterms:created>
  <dcterms:modified xsi:type="dcterms:W3CDTF">2026-09-03T14:16:00.0000000Z</dcterms:modified>
  <version/>
  <category/>
</coreProperties>
</file>