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F047B" w:rsidR="00F54AFF" w:rsidP="0064352A" w:rsidRDefault="0064006A" w14:paraId="1A9EE7B2" w14:textId="1767873E">
      <w:pPr>
        <w:pStyle w:val="Kop1"/>
        <w:numPr>
          <w:ilvl w:val="0"/>
          <w:numId w:val="0"/>
        </w:numPr>
        <w:spacing w:after="0" w:line="360" w:lineRule="auto"/>
        <w:rPr>
          <w:rFonts w:ascii="Verdana" w:hAnsi="Verdana"/>
          <w:sz w:val="18"/>
          <w:szCs w:val="18"/>
        </w:rPr>
      </w:pPr>
      <w:r w:rsidRPr="009F047B">
        <w:rPr>
          <w:rFonts w:ascii="Verdana" w:hAnsi="Verdana"/>
          <w:b/>
          <w:sz w:val="18"/>
          <w:szCs w:val="18"/>
        </w:rPr>
        <w:t>F</w:t>
      </w:r>
      <w:r w:rsidRPr="009F047B" w:rsidR="00F54AFF">
        <w:rPr>
          <w:rFonts w:ascii="Verdana" w:hAnsi="Verdana"/>
          <w:b/>
          <w:sz w:val="18"/>
          <w:szCs w:val="18"/>
        </w:rPr>
        <w:t>iche</w:t>
      </w:r>
      <w:r w:rsidRPr="009F047B">
        <w:rPr>
          <w:rFonts w:ascii="Verdana" w:hAnsi="Verdana"/>
          <w:b/>
          <w:sz w:val="18"/>
          <w:szCs w:val="18"/>
        </w:rPr>
        <w:t xml:space="preserve"> </w:t>
      </w:r>
      <w:r w:rsidRPr="009F047B" w:rsidR="00AD596C">
        <w:rPr>
          <w:rFonts w:ascii="Verdana" w:hAnsi="Verdana"/>
          <w:b/>
          <w:sz w:val="18"/>
          <w:szCs w:val="18"/>
        </w:rPr>
        <w:t>1</w:t>
      </w:r>
      <w:r w:rsidRPr="009F047B">
        <w:rPr>
          <w:rFonts w:ascii="Verdana" w:hAnsi="Verdana"/>
          <w:b/>
          <w:sz w:val="18"/>
          <w:szCs w:val="18"/>
        </w:rPr>
        <w:t xml:space="preserve">: </w:t>
      </w:r>
      <w:r w:rsidRPr="009F047B" w:rsidR="008F5D04">
        <w:rPr>
          <w:rFonts w:ascii="Verdana" w:hAnsi="Verdana"/>
          <w:b/>
          <w:sz w:val="18"/>
          <w:szCs w:val="18"/>
        </w:rPr>
        <w:t>Financieel pakket Montenegro</w:t>
      </w:r>
    </w:p>
    <w:p w:rsidRPr="009F047B" w:rsidR="00F54AFF" w:rsidP="0064352A" w:rsidRDefault="00F54AFF" w14:paraId="5D2B563A" w14:textId="77777777">
      <w:pPr>
        <w:spacing w:line="360" w:lineRule="auto"/>
        <w:rPr>
          <w:rFonts w:ascii="Verdana" w:hAnsi="Verdana"/>
          <w:b/>
          <w:sz w:val="18"/>
          <w:szCs w:val="18"/>
          <w:u w:val="single"/>
        </w:rPr>
      </w:pPr>
    </w:p>
    <w:p w:rsidRPr="009F047B" w:rsidR="000D01B7" w:rsidP="000D01B7" w:rsidRDefault="00F54AFF" w14:paraId="6297E29C" w14:textId="77777777">
      <w:pPr>
        <w:numPr>
          <w:ilvl w:val="0"/>
          <w:numId w:val="15"/>
        </w:numPr>
        <w:spacing w:line="360" w:lineRule="auto"/>
        <w:rPr>
          <w:rFonts w:ascii="Verdana" w:hAnsi="Verdana"/>
          <w:b/>
          <w:sz w:val="18"/>
          <w:szCs w:val="18"/>
        </w:rPr>
      </w:pPr>
      <w:r w:rsidRPr="009F047B">
        <w:rPr>
          <w:rFonts w:ascii="Verdana" w:hAnsi="Verdana"/>
          <w:b/>
          <w:sz w:val="18"/>
          <w:szCs w:val="18"/>
        </w:rPr>
        <w:t>Algemene gegevens</w:t>
      </w:r>
    </w:p>
    <w:p w:rsidRPr="009F047B" w:rsidR="00F54AFF" w:rsidP="00EF5C95" w:rsidRDefault="00F54AFF" w14:paraId="77DD57F4" w14:textId="77777777">
      <w:pPr>
        <w:numPr>
          <w:ilvl w:val="0"/>
          <w:numId w:val="19"/>
        </w:numPr>
        <w:spacing w:line="360" w:lineRule="auto"/>
        <w:rPr>
          <w:rFonts w:ascii="Verdana" w:hAnsi="Verdana"/>
          <w:i/>
          <w:iCs/>
          <w:sz w:val="18"/>
          <w:szCs w:val="18"/>
        </w:rPr>
      </w:pPr>
      <w:r w:rsidRPr="009F047B">
        <w:rPr>
          <w:rFonts w:ascii="Verdana" w:hAnsi="Verdana"/>
          <w:i/>
          <w:iCs/>
          <w:sz w:val="18"/>
          <w:szCs w:val="18"/>
        </w:rPr>
        <w:t>Titel voorstel</w:t>
      </w:r>
    </w:p>
    <w:p w:rsidRPr="009F047B" w:rsidR="008F5D04" w:rsidP="008F5D04" w:rsidRDefault="008F5D04" w14:paraId="3D7F9B21" w14:textId="4DDF7654">
      <w:pPr>
        <w:spacing w:line="360" w:lineRule="auto"/>
        <w:rPr>
          <w:rFonts w:ascii="Verdana" w:hAnsi="Verdana"/>
          <w:sz w:val="18"/>
          <w:szCs w:val="18"/>
        </w:rPr>
      </w:pPr>
      <w:r w:rsidRPr="009F047B">
        <w:rPr>
          <w:rFonts w:ascii="Verdana" w:hAnsi="Verdana"/>
          <w:sz w:val="18"/>
          <w:szCs w:val="18"/>
        </w:rPr>
        <w:t>Een financieel pakket voor de toetredingsonderhandelingen met Montenegro</w:t>
      </w:r>
      <w:r w:rsidRPr="009F047B">
        <w:rPr>
          <w:rFonts w:ascii="Verdana" w:hAnsi="Verdana"/>
          <w:sz w:val="18"/>
          <w:szCs w:val="18"/>
        </w:rPr>
        <w:br/>
      </w:r>
    </w:p>
    <w:p w:rsidRPr="009F047B" w:rsidR="00F54AFF" w:rsidP="00EF5C95" w:rsidRDefault="00F54AFF" w14:paraId="01843151" w14:textId="6172F746">
      <w:pPr>
        <w:numPr>
          <w:ilvl w:val="0"/>
          <w:numId w:val="19"/>
        </w:numPr>
        <w:spacing w:line="360" w:lineRule="auto"/>
        <w:rPr>
          <w:rFonts w:ascii="Verdana" w:hAnsi="Verdana"/>
          <w:i/>
          <w:iCs/>
          <w:sz w:val="18"/>
          <w:szCs w:val="18"/>
        </w:rPr>
      </w:pPr>
      <w:r w:rsidRPr="009F047B">
        <w:rPr>
          <w:rFonts w:ascii="Verdana" w:hAnsi="Verdana"/>
          <w:i/>
          <w:iCs/>
          <w:sz w:val="18"/>
          <w:szCs w:val="18"/>
        </w:rPr>
        <w:t xml:space="preserve">Datum </w:t>
      </w:r>
      <w:r w:rsidRPr="009F047B" w:rsidR="00513C1E">
        <w:rPr>
          <w:rFonts w:ascii="Verdana" w:hAnsi="Verdana"/>
          <w:i/>
          <w:iCs/>
          <w:sz w:val="18"/>
          <w:szCs w:val="18"/>
        </w:rPr>
        <w:t xml:space="preserve">ontvangst </w:t>
      </w:r>
      <w:r w:rsidRPr="009F047B">
        <w:rPr>
          <w:rFonts w:ascii="Verdana" w:hAnsi="Verdana"/>
          <w:i/>
          <w:iCs/>
          <w:sz w:val="18"/>
          <w:szCs w:val="18"/>
        </w:rPr>
        <w:t>Commissiedocument</w:t>
      </w:r>
    </w:p>
    <w:p w:rsidRPr="009F047B" w:rsidR="008F5D04" w:rsidP="008F5D04" w:rsidRDefault="008F5D04" w14:paraId="187377B6" w14:textId="21DB4B9B">
      <w:pPr>
        <w:spacing w:line="360" w:lineRule="auto"/>
        <w:rPr>
          <w:rFonts w:ascii="Verdana" w:hAnsi="Verdana"/>
          <w:sz w:val="18"/>
          <w:szCs w:val="18"/>
        </w:rPr>
      </w:pPr>
      <w:r w:rsidRPr="009F047B">
        <w:rPr>
          <w:rFonts w:ascii="Verdana" w:hAnsi="Verdana"/>
          <w:sz w:val="18"/>
          <w:szCs w:val="18"/>
        </w:rPr>
        <w:t>30 juni 2026</w:t>
      </w:r>
      <w:r w:rsidRPr="009F047B">
        <w:rPr>
          <w:rFonts w:ascii="Verdana" w:hAnsi="Verdana"/>
          <w:sz w:val="18"/>
          <w:szCs w:val="18"/>
        </w:rPr>
        <w:br/>
      </w:r>
    </w:p>
    <w:p w:rsidRPr="009F047B" w:rsidR="00F54AFF" w:rsidP="00EF5C95" w:rsidRDefault="00F54AFF" w14:paraId="4764A5B3" w14:textId="77777777">
      <w:pPr>
        <w:numPr>
          <w:ilvl w:val="0"/>
          <w:numId w:val="19"/>
        </w:numPr>
        <w:spacing w:line="360" w:lineRule="auto"/>
        <w:rPr>
          <w:rFonts w:ascii="Verdana" w:hAnsi="Verdana"/>
          <w:i/>
          <w:iCs/>
          <w:sz w:val="18"/>
          <w:szCs w:val="18"/>
        </w:rPr>
      </w:pPr>
      <w:r w:rsidRPr="009F047B">
        <w:rPr>
          <w:rFonts w:ascii="Verdana" w:hAnsi="Verdana"/>
          <w:i/>
          <w:iCs/>
          <w:sz w:val="18"/>
          <w:szCs w:val="18"/>
        </w:rPr>
        <w:t>Nr. Commissiedocument</w:t>
      </w:r>
    </w:p>
    <w:p w:rsidRPr="009F047B" w:rsidR="008F5D04" w:rsidP="008F5D04" w:rsidRDefault="008F5D04" w14:paraId="3E31FE56" w14:textId="75D51336">
      <w:pPr>
        <w:spacing w:line="360" w:lineRule="auto"/>
        <w:rPr>
          <w:rFonts w:ascii="Verdana" w:hAnsi="Verdana"/>
          <w:sz w:val="18"/>
          <w:szCs w:val="18"/>
        </w:rPr>
      </w:pPr>
      <w:r w:rsidRPr="009F047B">
        <w:rPr>
          <w:rFonts w:ascii="Verdana" w:hAnsi="Verdana"/>
          <w:sz w:val="18"/>
          <w:szCs w:val="18"/>
        </w:rPr>
        <w:t xml:space="preserve">COM(2026) 334 </w:t>
      </w:r>
      <w:r w:rsidRPr="009F047B">
        <w:rPr>
          <w:rFonts w:ascii="Verdana" w:hAnsi="Verdana"/>
          <w:sz w:val="18"/>
          <w:szCs w:val="18"/>
        </w:rPr>
        <w:br/>
      </w:r>
    </w:p>
    <w:p w:rsidRPr="009F047B" w:rsidR="00F54AFF" w:rsidP="00EF5C95" w:rsidRDefault="001D558D" w14:paraId="7B35A37C" w14:textId="77777777">
      <w:pPr>
        <w:numPr>
          <w:ilvl w:val="0"/>
          <w:numId w:val="19"/>
        </w:numPr>
        <w:spacing w:line="360" w:lineRule="auto"/>
        <w:rPr>
          <w:rFonts w:ascii="Verdana" w:hAnsi="Verdana"/>
          <w:i/>
          <w:iCs/>
          <w:sz w:val="18"/>
          <w:szCs w:val="18"/>
        </w:rPr>
      </w:pPr>
      <w:r w:rsidRPr="009F047B">
        <w:rPr>
          <w:rFonts w:ascii="Verdana" w:hAnsi="Verdana"/>
          <w:i/>
          <w:iCs/>
          <w:sz w:val="18"/>
          <w:szCs w:val="18"/>
        </w:rPr>
        <w:t>EUR</w:t>
      </w:r>
      <w:r w:rsidRPr="009F047B" w:rsidR="00F54AFF">
        <w:rPr>
          <w:rFonts w:ascii="Verdana" w:hAnsi="Verdana"/>
          <w:i/>
          <w:iCs/>
          <w:sz w:val="18"/>
          <w:szCs w:val="18"/>
        </w:rPr>
        <w:t>-</w:t>
      </w:r>
      <w:r w:rsidRPr="009F047B">
        <w:rPr>
          <w:rFonts w:ascii="Verdana" w:hAnsi="Verdana"/>
          <w:i/>
          <w:iCs/>
          <w:sz w:val="18"/>
          <w:szCs w:val="18"/>
        </w:rPr>
        <w:t>L</w:t>
      </w:r>
      <w:r w:rsidRPr="009F047B" w:rsidR="00F54AFF">
        <w:rPr>
          <w:rFonts w:ascii="Verdana" w:hAnsi="Verdana"/>
          <w:i/>
          <w:iCs/>
          <w:sz w:val="18"/>
          <w:szCs w:val="18"/>
        </w:rPr>
        <w:t>ex</w:t>
      </w:r>
    </w:p>
    <w:p w:rsidRPr="009F047B" w:rsidR="008F5D04" w:rsidP="008F5D04" w:rsidRDefault="00193432" w14:paraId="36FCA4B8" w14:textId="4E11D552">
      <w:pPr>
        <w:spacing w:line="360" w:lineRule="auto"/>
        <w:rPr>
          <w:rFonts w:ascii="Verdana" w:hAnsi="Verdana"/>
          <w:sz w:val="18"/>
          <w:szCs w:val="18"/>
        </w:rPr>
      </w:pPr>
      <w:hyperlink w:history="1" r:id="rId13">
        <w:r w:rsidRPr="009F047B">
          <w:rPr>
            <w:rStyle w:val="Hyperlink"/>
            <w:rFonts w:ascii="Verdana" w:hAnsi="Verdana"/>
            <w:sz w:val="18"/>
            <w:szCs w:val="18"/>
          </w:rPr>
          <w:t>https://eur-lex.europa.eu/legal-content/NL/TXT/?uri=CELEX:52026DC0334</w:t>
        </w:r>
      </w:hyperlink>
      <w:r w:rsidRPr="009F047B" w:rsidR="008F5D04">
        <w:rPr>
          <w:rFonts w:ascii="Verdana" w:hAnsi="Verdana"/>
          <w:sz w:val="18"/>
          <w:szCs w:val="18"/>
        </w:rPr>
        <w:t xml:space="preserve"> </w:t>
      </w:r>
      <w:r w:rsidRPr="009F047B" w:rsidR="008F5D04">
        <w:rPr>
          <w:rFonts w:ascii="Verdana" w:hAnsi="Verdana"/>
          <w:sz w:val="18"/>
          <w:szCs w:val="18"/>
        </w:rPr>
        <w:br/>
      </w:r>
    </w:p>
    <w:p w:rsidRPr="009F047B" w:rsidR="00EA4C91" w:rsidP="00EA4C91" w:rsidRDefault="00F54AFF" w14:paraId="53CDC116" w14:textId="160EB863">
      <w:pPr>
        <w:numPr>
          <w:ilvl w:val="0"/>
          <w:numId w:val="19"/>
        </w:numPr>
        <w:spacing w:line="360" w:lineRule="auto"/>
        <w:rPr>
          <w:rFonts w:ascii="Verdana" w:hAnsi="Verdana"/>
          <w:i/>
          <w:iCs/>
          <w:sz w:val="18"/>
          <w:szCs w:val="18"/>
          <w:lang w:val="fr-FR"/>
        </w:rPr>
      </w:pPr>
      <w:r w:rsidRPr="009F047B">
        <w:rPr>
          <w:rFonts w:ascii="Verdana" w:hAnsi="Verdana"/>
          <w:i/>
          <w:iCs/>
          <w:sz w:val="18"/>
          <w:szCs w:val="18"/>
          <w:lang w:val="fr-FR"/>
        </w:rPr>
        <w:t xml:space="preserve">Nr. impact </w:t>
      </w:r>
      <w:proofErr w:type="spellStart"/>
      <w:r w:rsidRPr="009F047B">
        <w:rPr>
          <w:rFonts w:ascii="Verdana" w:hAnsi="Verdana"/>
          <w:i/>
          <w:iCs/>
          <w:sz w:val="18"/>
          <w:szCs w:val="18"/>
          <w:lang w:val="fr-FR"/>
        </w:rPr>
        <w:t>assessment</w:t>
      </w:r>
      <w:proofErr w:type="spellEnd"/>
      <w:r w:rsidRPr="009F047B">
        <w:rPr>
          <w:rFonts w:ascii="Verdana" w:hAnsi="Verdana"/>
          <w:i/>
          <w:iCs/>
          <w:sz w:val="18"/>
          <w:szCs w:val="18"/>
          <w:lang w:val="fr-FR"/>
        </w:rPr>
        <w:t xml:space="preserve"> </w:t>
      </w:r>
      <w:proofErr w:type="spellStart"/>
      <w:r w:rsidRPr="009F047B">
        <w:rPr>
          <w:rFonts w:ascii="Verdana" w:hAnsi="Verdana"/>
          <w:i/>
          <w:iCs/>
          <w:sz w:val="18"/>
          <w:szCs w:val="18"/>
          <w:lang w:val="fr-FR"/>
        </w:rPr>
        <w:t>Commissie</w:t>
      </w:r>
      <w:proofErr w:type="spellEnd"/>
      <w:r w:rsidRPr="009F047B">
        <w:rPr>
          <w:rFonts w:ascii="Verdana" w:hAnsi="Verdana"/>
          <w:i/>
          <w:iCs/>
          <w:sz w:val="18"/>
          <w:szCs w:val="18"/>
          <w:lang w:val="fr-FR"/>
        </w:rPr>
        <w:t xml:space="preserve"> en </w:t>
      </w:r>
      <w:proofErr w:type="spellStart"/>
      <w:r w:rsidRPr="009F047B">
        <w:rPr>
          <w:rFonts w:ascii="Verdana" w:hAnsi="Verdana"/>
          <w:i/>
          <w:iCs/>
          <w:sz w:val="18"/>
          <w:szCs w:val="18"/>
          <w:lang w:val="fr-FR"/>
        </w:rPr>
        <w:t>Opinie</w:t>
      </w:r>
      <w:proofErr w:type="spellEnd"/>
      <w:r w:rsidRPr="009F047B" w:rsidR="00FE7565">
        <w:rPr>
          <w:rFonts w:ascii="Verdana" w:hAnsi="Verdana"/>
          <w:i/>
          <w:iCs/>
          <w:sz w:val="18"/>
          <w:szCs w:val="18"/>
          <w:lang w:val="fr-FR"/>
        </w:rPr>
        <w:t xml:space="preserve"> </w:t>
      </w:r>
    </w:p>
    <w:p w:rsidRPr="009F047B" w:rsidR="008F5D04" w:rsidP="008F5D04" w:rsidRDefault="008F5D04" w14:paraId="02D7F259" w14:textId="5387CCE7">
      <w:pPr>
        <w:spacing w:line="360" w:lineRule="auto"/>
        <w:rPr>
          <w:rFonts w:ascii="Verdana" w:hAnsi="Verdana"/>
          <w:sz w:val="18"/>
          <w:szCs w:val="18"/>
          <w:lang w:val="fr-FR"/>
        </w:rPr>
      </w:pPr>
      <w:r w:rsidRPr="009F047B">
        <w:rPr>
          <w:rFonts w:ascii="Verdana" w:hAnsi="Verdana"/>
          <w:sz w:val="18"/>
          <w:szCs w:val="18"/>
          <w:lang w:val="fr-FR"/>
        </w:rPr>
        <w:t xml:space="preserve">Niet </w:t>
      </w:r>
      <w:proofErr w:type="spellStart"/>
      <w:r w:rsidRPr="009F047B">
        <w:rPr>
          <w:rFonts w:ascii="Verdana" w:hAnsi="Verdana"/>
          <w:sz w:val="18"/>
          <w:szCs w:val="18"/>
          <w:lang w:val="fr-FR"/>
        </w:rPr>
        <w:t>opgesteld</w:t>
      </w:r>
      <w:proofErr w:type="spellEnd"/>
      <w:r w:rsidRPr="009F047B">
        <w:rPr>
          <w:rFonts w:ascii="Verdana" w:hAnsi="Verdana"/>
          <w:sz w:val="18"/>
          <w:szCs w:val="18"/>
          <w:lang w:val="fr-FR"/>
        </w:rPr>
        <w:br/>
      </w:r>
    </w:p>
    <w:p w:rsidRPr="009F047B" w:rsidR="00F54AFF" w:rsidP="00EA4C91" w:rsidRDefault="00F54AFF" w14:paraId="17753858" w14:textId="10F17ACD">
      <w:pPr>
        <w:numPr>
          <w:ilvl w:val="0"/>
          <w:numId w:val="19"/>
        </w:numPr>
        <w:spacing w:line="360" w:lineRule="auto"/>
        <w:rPr>
          <w:rFonts w:ascii="Verdana" w:hAnsi="Verdana"/>
          <w:i/>
          <w:iCs/>
          <w:sz w:val="18"/>
          <w:szCs w:val="18"/>
        </w:rPr>
      </w:pPr>
      <w:r w:rsidRPr="009F047B">
        <w:rPr>
          <w:rFonts w:ascii="Verdana" w:hAnsi="Verdana"/>
          <w:i/>
          <w:iCs/>
          <w:sz w:val="18"/>
          <w:szCs w:val="18"/>
        </w:rPr>
        <w:t>Behandelingstraject Raad</w:t>
      </w:r>
    </w:p>
    <w:p w:rsidRPr="009F047B" w:rsidR="008F5D04" w:rsidP="008F5D04" w:rsidRDefault="008F5D04" w14:paraId="066FC5DC" w14:textId="133EF970">
      <w:pPr>
        <w:spacing w:line="360" w:lineRule="auto"/>
        <w:rPr>
          <w:rFonts w:ascii="Verdana" w:hAnsi="Verdana"/>
          <w:sz w:val="18"/>
          <w:szCs w:val="18"/>
        </w:rPr>
      </w:pPr>
      <w:r w:rsidRPr="009F047B">
        <w:rPr>
          <w:rFonts w:ascii="Verdana" w:hAnsi="Verdana"/>
          <w:sz w:val="18"/>
          <w:szCs w:val="18"/>
        </w:rPr>
        <w:t>Raad Algemene Zaken</w:t>
      </w:r>
      <w:r w:rsidRPr="009F047B">
        <w:rPr>
          <w:rFonts w:ascii="Verdana" w:hAnsi="Verdana"/>
          <w:sz w:val="18"/>
          <w:szCs w:val="18"/>
        </w:rPr>
        <w:br/>
      </w:r>
    </w:p>
    <w:p w:rsidRPr="009F047B" w:rsidR="000D01B7" w:rsidP="00EF5C95" w:rsidRDefault="000D01B7" w14:paraId="06FF4929" w14:textId="77777777">
      <w:pPr>
        <w:numPr>
          <w:ilvl w:val="0"/>
          <w:numId w:val="19"/>
        </w:numPr>
        <w:spacing w:line="360" w:lineRule="auto"/>
        <w:rPr>
          <w:rFonts w:ascii="Verdana" w:hAnsi="Verdana"/>
          <w:i/>
          <w:sz w:val="18"/>
          <w:szCs w:val="18"/>
        </w:rPr>
      </w:pPr>
      <w:r w:rsidRPr="009F047B">
        <w:rPr>
          <w:rFonts w:ascii="Verdana" w:hAnsi="Verdana"/>
          <w:i/>
          <w:sz w:val="18"/>
          <w:szCs w:val="18"/>
        </w:rPr>
        <w:t>Eerstverantwoordelijk ministerie</w:t>
      </w:r>
    </w:p>
    <w:p w:rsidRPr="009F047B" w:rsidR="008F5D04" w:rsidP="008F5D04" w:rsidRDefault="008F5D04" w14:paraId="4DC997ED" w14:textId="3AB87BDC">
      <w:pPr>
        <w:spacing w:line="360" w:lineRule="auto"/>
        <w:rPr>
          <w:rFonts w:ascii="Verdana" w:hAnsi="Verdana"/>
          <w:iCs/>
          <w:sz w:val="18"/>
          <w:szCs w:val="18"/>
        </w:rPr>
      </w:pPr>
      <w:r w:rsidRPr="009F047B">
        <w:rPr>
          <w:rFonts w:ascii="Verdana" w:hAnsi="Verdana"/>
          <w:iCs/>
          <w:sz w:val="18"/>
          <w:szCs w:val="18"/>
        </w:rPr>
        <w:t>Ministerie van Buitenlandse Zaken, in nauwe samenwerking met het Ministerie van Financiën</w:t>
      </w:r>
    </w:p>
    <w:p w:rsidRPr="009F047B" w:rsidR="00066C36" w:rsidP="00071F9B" w:rsidRDefault="00066C36" w14:paraId="0AA65E6C" w14:textId="77777777">
      <w:pPr>
        <w:spacing w:line="360" w:lineRule="auto"/>
        <w:rPr>
          <w:rFonts w:ascii="Verdana" w:hAnsi="Verdana"/>
          <w:sz w:val="18"/>
          <w:szCs w:val="18"/>
        </w:rPr>
      </w:pPr>
    </w:p>
    <w:p w:rsidRPr="009F047B" w:rsidR="00F54AFF" w:rsidP="000D01B7" w:rsidRDefault="008528D9" w14:paraId="2B811560" w14:textId="77777777">
      <w:pPr>
        <w:numPr>
          <w:ilvl w:val="0"/>
          <w:numId w:val="15"/>
        </w:numPr>
        <w:spacing w:line="360" w:lineRule="auto"/>
        <w:rPr>
          <w:rFonts w:ascii="Verdana" w:hAnsi="Verdana"/>
          <w:b/>
          <w:sz w:val="18"/>
          <w:szCs w:val="18"/>
        </w:rPr>
      </w:pPr>
      <w:r w:rsidRPr="009F047B">
        <w:rPr>
          <w:rFonts w:ascii="Verdana" w:hAnsi="Verdana"/>
          <w:b/>
          <w:sz w:val="18"/>
          <w:szCs w:val="18"/>
        </w:rPr>
        <w:t>Essentie</w:t>
      </w:r>
      <w:r w:rsidRPr="009F047B" w:rsidR="000D01B7">
        <w:rPr>
          <w:rFonts w:ascii="Verdana" w:hAnsi="Verdana"/>
          <w:b/>
          <w:sz w:val="18"/>
          <w:szCs w:val="18"/>
        </w:rPr>
        <w:t xml:space="preserve"> voorstel</w:t>
      </w:r>
    </w:p>
    <w:p w:rsidR="00080D36" w:rsidP="001761C8" w:rsidRDefault="001761C8" w14:paraId="554E5599" w14:textId="77777777">
      <w:pPr>
        <w:tabs>
          <w:tab w:val="left" w:pos="360"/>
          <w:tab w:val="left" w:pos="4500"/>
          <w:tab w:val="left" w:pos="5580"/>
        </w:tabs>
        <w:spacing w:line="360" w:lineRule="auto"/>
        <w:rPr>
          <w:rFonts w:ascii="Verdana" w:hAnsi="Verdana"/>
          <w:sz w:val="18"/>
          <w:szCs w:val="18"/>
        </w:rPr>
      </w:pPr>
      <w:r w:rsidRPr="009F047B">
        <w:rPr>
          <w:rFonts w:ascii="Verdana" w:hAnsi="Verdana"/>
          <w:sz w:val="18"/>
          <w:szCs w:val="18"/>
        </w:rPr>
        <w:t xml:space="preserve">De </w:t>
      </w:r>
      <w:r w:rsidRPr="009F047B" w:rsidR="001D2CD5">
        <w:rPr>
          <w:rFonts w:ascii="Verdana" w:hAnsi="Verdana"/>
          <w:sz w:val="18"/>
          <w:szCs w:val="18"/>
        </w:rPr>
        <w:t>Europese</w:t>
      </w:r>
      <w:r w:rsidRPr="009F047B">
        <w:rPr>
          <w:rFonts w:ascii="Verdana" w:hAnsi="Verdana"/>
          <w:sz w:val="18"/>
          <w:szCs w:val="18"/>
        </w:rPr>
        <w:t xml:space="preserve"> Commissie</w:t>
      </w:r>
      <w:r w:rsidRPr="009F047B" w:rsidR="00605B43">
        <w:rPr>
          <w:rFonts w:ascii="Verdana" w:hAnsi="Verdana"/>
          <w:sz w:val="18"/>
          <w:szCs w:val="18"/>
        </w:rPr>
        <w:t xml:space="preserve"> heeft</w:t>
      </w:r>
      <w:r w:rsidRPr="009F047B">
        <w:rPr>
          <w:rFonts w:ascii="Verdana" w:hAnsi="Verdana"/>
          <w:sz w:val="18"/>
          <w:szCs w:val="18"/>
        </w:rPr>
        <w:t xml:space="preserve"> </w:t>
      </w:r>
      <w:r w:rsidRPr="009F047B" w:rsidR="00B63EB4">
        <w:rPr>
          <w:rFonts w:ascii="Verdana" w:hAnsi="Verdana"/>
          <w:sz w:val="18"/>
          <w:szCs w:val="18"/>
        </w:rPr>
        <w:t xml:space="preserve">30 juni jl. </w:t>
      </w:r>
      <w:r w:rsidRPr="009F047B" w:rsidR="00605B43">
        <w:rPr>
          <w:rFonts w:ascii="Verdana" w:hAnsi="Verdana"/>
          <w:sz w:val="18"/>
          <w:szCs w:val="18"/>
        </w:rPr>
        <w:t>e</w:t>
      </w:r>
      <w:r w:rsidRPr="009F047B">
        <w:rPr>
          <w:rFonts w:ascii="Verdana" w:hAnsi="Verdana"/>
          <w:sz w:val="18"/>
          <w:szCs w:val="18"/>
        </w:rPr>
        <w:t xml:space="preserve">en financieel pakket </w:t>
      </w:r>
      <w:r w:rsidRPr="009F047B" w:rsidR="00605B43">
        <w:rPr>
          <w:rFonts w:ascii="Verdana" w:hAnsi="Verdana"/>
          <w:sz w:val="18"/>
          <w:szCs w:val="18"/>
        </w:rPr>
        <w:t>gepresenteerd</w:t>
      </w:r>
      <w:r w:rsidRPr="009F047B" w:rsidR="00B63EB4">
        <w:rPr>
          <w:rFonts w:ascii="Verdana" w:hAnsi="Verdana"/>
          <w:sz w:val="18"/>
          <w:szCs w:val="18"/>
        </w:rPr>
        <w:t xml:space="preserve"> met daarin voorstellen voor financiële en budgettaire </w:t>
      </w:r>
      <w:r w:rsidRPr="009F047B" w:rsidR="006F61C0">
        <w:rPr>
          <w:rFonts w:ascii="Verdana" w:hAnsi="Verdana"/>
          <w:sz w:val="18"/>
          <w:szCs w:val="18"/>
        </w:rPr>
        <w:t>aspecten</w:t>
      </w:r>
      <w:r w:rsidRPr="009F047B" w:rsidR="00B63EB4">
        <w:rPr>
          <w:rFonts w:ascii="Verdana" w:hAnsi="Verdana"/>
          <w:sz w:val="18"/>
          <w:szCs w:val="18"/>
        </w:rPr>
        <w:t xml:space="preserve"> </w:t>
      </w:r>
      <w:r w:rsidRPr="009F047B" w:rsidR="006315D8">
        <w:rPr>
          <w:rFonts w:ascii="Verdana" w:hAnsi="Verdana"/>
          <w:sz w:val="18"/>
          <w:szCs w:val="18"/>
        </w:rPr>
        <w:t>voor</w:t>
      </w:r>
      <w:r w:rsidRPr="009F047B" w:rsidR="00B63EB4">
        <w:rPr>
          <w:rFonts w:ascii="Verdana" w:hAnsi="Verdana"/>
          <w:sz w:val="18"/>
          <w:szCs w:val="18"/>
        </w:rPr>
        <w:t xml:space="preserve"> toekomstige EU-toetreding van Montenegro onder </w:t>
      </w:r>
      <w:r w:rsidRPr="009F047B" w:rsidR="00761FFB">
        <w:rPr>
          <w:rFonts w:ascii="Verdana" w:hAnsi="Verdana"/>
          <w:sz w:val="18"/>
          <w:szCs w:val="18"/>
        </w:rPr>
        <w:t>het</w:t>
      </w:r>
      <w:r w:rsidRPr="009F047B" w:rsidR="00B63EB4">
        <w:rPr>
          <w:rFonts w:ascii="Verdana" w:hAnsi="Verdana"/>
          <w:sz w:val="18"/>
          <w:szCs w:val="18"/>
        </w:rPr>
        <w:t xml:space="preserve"> volgend Meerjarige Financieel Kader (MFK) voor de periode 2028-2034. </w:t>
      </w:r>
      <w:r w:rsidRPr="009F047B" w:rsidR="007C586A">
        <w:rPr>
          <w:rFonts w:ascii="Verdana" w:hAnsi="Verdana"/>
          <w:sz w:val="18"/>
          <w:szCs w:val="18"/>
        </w:rPr>
        <w:t>Dit is een gebruikelijk</w:t>
      </w:r>
      <w:r w:rsidRPr="009F047B" w:rsidR="00761FFB">
        <w:rPr>
          <w:rFonts w:ascii="Verdana" w:hAnsi="Verdana"/>
          <w:sz w:val="18"/>
          <w:szCs w:val="18"/>
        </w:rPr>
        <w:t xml:space="preserve"> onderdeel van </w:t>
      </w:r>
      <w:r w:rsidRPr="009F047B" w:rsidR="00A549ED">
        <w:rPr>
          <w:rFonts w:ascii="Verdana" w:hAnsi="Verdana"/>
          <w:sz w:val="18"/>
          <w:szCs w:val="18"/>
        </w:rPr>
        <w:t>de toetredingsonderhandelingen</w:t>
      </w:r>
      <w:r w:rsidRPr="009F047B" w:rsidR="00AB0F8D">
        <w:rPr>
          <w:rFonts w:ascii="Verdana" w:hAnsi="Verdana"/>
          <w:sz w:val="18"/>
          <w:szCs w:val="18"/>
        </w:rPr>
        <w:t>, op een moment dat een groot deel van de onderhandelingshoofdstukken reeds onder voorbehoud gesloten zijn</w:t>
      </w:r>
      <w:r w:rsidRPr="009F047B" w:rsidR="007C586A">
        <w:rPr>
          <w:rFonts w:ascii="Verdana" w:hAnsi="Verdana"/>
          <w:sz w:val="18"/>
          <w:szCs w:val="18"/>
        </w:rPr>
        <w:t xml:space="preserve">. </w:t>
      </w:r>
      <w:r w:rsidRPr="009F047B" w:rsidR="00B63EB4">
        <w:rPr>
          <w:rFonts w:ascii="Verdana" w:hAnsi="Verdana"/>
          <w:sz w:val="18"/>
          <w:szCs w:val="18"/>
        </w:rPr>
        <w:t xml:space="preserve">De Commissie heeft </w:t>
      </w:r>
      <w:r w:rsidRPr="009F047B" w:rsidR="00A549ED">
        <w:rPr>
          <w:rFonts w:ascii="Verdana" w:hAnsi="Verdana"/>
          <w:sz w:val="18"/>
          <w:szCs w:val="18"/>
        </w:rPr>
        <w:t>hier</w:t>
      </w:r>
      <w:r w:rsidRPr="009F047B" w:rsidR="00B63EB4">
        <w:rPr>
          <w:rFonts w:ascii="Verdana" w:hAnsi="Verdana"/>
          <w:sz w:val="18"/>
          <w:szCs w:val="18"/>
        </w:rPr>
        <w:t>bij haar eigen MFK-voorstellen</w:t>
      </w:r>
      <w:r w:rsidRPr="009F047B" w:rsidR="007C5D5E">
        <w:rPr>
          <w:rStyle w:val="Voetnootmarkering"/>
          <w:rFonts w:ascii="Verdana" w:hAnsi="Verdana"/>
          <w:sz w:val="18"/>
          <w:szCs w:val="18"/>
        </w:rPr>
        <w:footnoteReference w:id="1"/>
      </w:r>
      <w:r w:rsidRPr="009F047B" w:rsidR="00B63EB4">
        <w:rPr>
          <w:rFonts w:ascii="Verdana" w:hAnsi="Verdana"/>
          <w:sz w:val="18"/>
          <w:szCs w:val="18"/>
        </w:rPr>
        <w:t xml:space="preserve"> als uitgangspunt genomen. De </w:t>
      </w:r>
      <w:r w:rsidRPr="009F047B" w:rsidR="001D2CD5">
        <w:rPr>
          <w:rFonts w:ascii="Verdana" w:hAnsi="Verdana"/>
          <w:sz w:val="18"/>
          <w:szCs w:val="18"/>
        </w:rPr>
        <w:t>nadere</w:t>
      </w:r>
      <w:r w:rsidRPr="009F047B" w:rsidR="00B63EB4">
        <w:rPr>
          <w:rFonts w:ascii="Verdana" w:hAnsi="Verdana"/>
          <w:sz w:val="18"/>
          <w:szCs w:val="18"/>
        </w:rPr>
        <w:t xml:space="preserve"> </w:t>
      </w:r>
      <w:r w:rsidRPr="009F047B" w:rsidR="00A549ED">
        <w:rPr>
          <w:rFonts w:ascii="Verdana" w:hAnsi="Verdana"/>
          <w:sz w:val="18"/>
          <w:szCs w:val="18"/>
        </w:rPr>
        <w:t xml:space="preserve">invulling van het pakket, waaronder </w:t>
      </w:r>
      <w:r w:rsidRPr="009F047B" w:rsidR="001D2CD5">
        <w:rPr>
          <w:rFonts w:ascii="Verdana" w:hAnsi="Verdana"/>
          <w:sz w:val="18"/>
          <w:szCs w:val="18"/>
        </w:rPr>
        <w:t xml:space="preserve">de </w:t>
      </w:r>
      <w:r w:rsidRPr="009F047B" w:rsidR="00B63EB4">
        <w:rPr>
          <w:rFonts w:ascii="Verdana" w:hAnsi="Verdana"/>
          <w:sz w:val="18"/>
          <w:szCs w:val="18"/>
        </w:rPr>
        <w:t xml:space="preserve">definitieve bedragen, </w:t>
      </w:r>
      <w:r w:rsidRPr="009F047B" w:rsidR="00A549ED">
        <w:rPr>
          <w:rFonts w:ascii="Verdana" w:hAnsi="Verdana"/>
          <w:sz w:val="18"/>
          <w:szCs w:val="18"/>
        </w:rPr>
        <w:t xml:space="preserve">is </w:t>
      </w:r>
      <w:r w:rsidRPr="009F047B" w:rsidR="00B63EB4">
        <w:rPr>
          <w:rFonts w:ascii="Verdana" w:hAnsi="Verdana"/>
          <w:sz w:val="18"/>
          <w:szCs w:val="18"/>
        </w:rPr>
        <w:t xml:space="preserve">afhankelijk van de uitkomst van de MFK-onderhandelingen </w:t>
      </w:r>
      <w:r w:rsidRPr="009F047B" w:rsidR="001D2CD5">
        <w:rPr>
          <w:rFonts w:ascii="Verdana" w:hAnsi="Verdana"/>
          <w:sz w:val="18"/>
          <w:szCs w:val="18"/>
        </w:rPr>
        <w:t xml:space="preserve">enerzijds </w:t>
      </w:r>
      <w:r w:rsidRPr="009F047B" w:rsidR="00B63EB4">
        <w:rPr>
          <w:rFonts w:ascii="Verdana" w:hAnsi="Verdana"/>
          <w:sz w:val="18"/>
          <w:szCs w:val="18"/>
        </w:rPr>
        <w:t xml:space="preserve">en </w:t>
      </w:r>
      <w:r w:rsidRPr="009F047B" w:rsidR="001D2CD5">
        <w:rPr>
          <w:rFonts w:ascii="Verdana" w:hAnsi="Verdana"/>
          <w:sz w:val="18"/>
          <w:szCs w:val="18"/>
        </w:rPr>
        <w:t>anderzijds</w:t>
      </w:r>
      <w:r w:rsidRPr="009F047B" w:rsidR="00B63EB4">
        <w:rPr>
          <w:rFonts w:ascii="Verdana" w:hAnsi="Verdana"/>
          <w:sz w:val="18"/>
          <w:szCs w:val="18"/>
        </w:rPr>
        <w:t xml:space="preserve"> het moment van toetreding</w:t>
      </w:r>
      <w:r w:rsidRPr="009F047B" w:rsidR="006F61C0">
        <w:rPr>
          <w:rFonts w:ascii="Verdana" w:hAnsi="Verdana"/>
          <w:sz w:val="18"/>
          <w:szCs w:val="18"/>
        </w:rPr>
        <w:t xml:space="preserve"> </w:t>
      </w:r>
      <w:r w:rsidRPr="009F047B" w:rsidR="001D2CD5">
        <w:rPr>
          <w:rFonts w:ascii="Verdana" w:hAnsi="Verdana"/>
          <w:sz w:val="18"/>
          <w:szCs w:val="18"/>
        </w:rPr>
        <w:t xml:space="preserve">van Montenegro. Uiteraard blijft gelden </w:t>
      </w:r>
      <w:r w:rsidRPr="009F047B" w:rsidR="006F61C0">
        <w:rPr>
          <w:rFonts w:ascii="Verdana" w:hAnsi="Verdana"/>
          <w:sz w:val="18"/>
          <w:szCs w:val="18"/>
        </w:rPr>
        <w:t xml:space="preserve">dat Montenegro </w:t>
      </w:r>
      <w:r w:rsidRPr="009F047B" w:rsidR="001D2CD5">
        <w:rPr>
          <w:rFonts w:ascii="Verdana" w:hAnsi="Verdana"/>
          <w:sz w:val="18"/>
          <w:szCs w:val="18"/>
        </w:rPr>
        <w:t xml:space="preserve">voor EU-toetreding </w:t>
      </w:r>
      <w:r w:rsidRPr="009F047B" w:rsidR="006F61C0">
        <w:rPr>
          <w:rFonts w:ascii="Verdana" w:hAnsi="Verdana"/>
          <w:sz w:val="18"/>
          <w:szCs w:val="18"/>
        </w:rPr>
        <w:t xml:space="preserve">aan alle </w:t>
      </w:r>
      <w:r w:rsidRPr="009F047B" w:rsidR="00305F82">
        <w:rPr>
          <w:rFonts w:ascii="Verdana" w:hAnsi="Verdana"/>
          <w:sz w:val="18"/>
          <w:szCs w:val="18"/>
        </w:rPr>
        <w:t>toetredings</w:t>
      </w:r>
      <w:r w:rsidRPr="009F047B" w:rsidR="006F61C0">
        <w:rPr>
          <w:rFonts w:ascii="Verdana" w:hAnsi="Verdana"/>
          <w:sz w:val="18"/>
          <w:szCs w:val="18"/>
        </w:rPr>
        <w:t>criteria moet voldoen.</w:t>
      </w:r>
      <w:r w:rsidRPr="009F047B" w:rsidR="007C586A">
        <w:rPr>
          <w:rFonts w:ascii="Verdana" w:hAnsi="Verdana"/>
          <w:sz w:val="18"/>
          <w:szCs w:val="18"/>
        </w:rPr>
        <w:t xml:space="preserve"> Na </w:t>
      </w:r>
      <w:r w:rsidRPr="009F047B" w:rsidR="00761FFB">
        <w:rPr>
          <w:rFonts w:ascii="Verdana" w:hAnsi="Verdana"/>
          <w:sz w:val="18"/>
          <w:szCs w:val="18"/>
        </w:rPr>
        <w:t>behandeling</w:t>
      </w:r>
      <w:r w:rsidRPr="009F047B" w:rsidR="007C586A">
        <w:rPr>
          <w:rFonts w:ascii="Verdana" w:hAnsi="Verdana"/>
          <w:sz w:val="18"/>
          <w:szCs w:val="18"/>
        </w:rPr>
        <w:t xml:space="preserve"> in de Raad </w:t>
      </w:r>
      <w:r w:rsidRPr="009F047B" w:rsidR="00761FFB">
        <w:rPr>
          <w:rFonts w:ascii="Verdana" w:hAnsi="Verdana"/>
          <w:sz w:val="18"/>
          <w:szCs w:val="18"/>
        </w:rPr>
        <w:t>van</w:t>
      </w:r>
      <w:r w:rsidRPr="009F047B" w:rsidR="007C586A">
        <w:rPr>
          <w:rFonts w:ascii="Verdana" w:hAnsi="Verdana"/>
          <w:sz w:val="18"/>
          <w:szCs w:val="18"/>
        </w:rPr>
        <w:t xml:space="preserve"> het </w:t>
      </w:r>
      <w:r w:rsidRPr="009F047B" w:rsidR="00761FFB">
        <w:rPr>
          <w:rFonts w:ascii="Verdana" w:hAnsi="Verdana"/>
          <w:sz w:val="18"/>
          <w:szCs w:val="18"/>
        </w:rPr>
        <w:t xml:space="preserve">financieel </w:t>
      </w:r>
      <w:r w:rsidRPr="009F047B" w:rsidR="007C586A">
        <w:rPr>
          <w:rFonts w:ascii="Verdana" w:hAnsi="Verdana"/>
          <w:sz w:val="18"/>
          <w:szCs w:val="18"/>
        </w:rPr>
        <w:t xml:space="preserve">pakket zal de Commissie een voorstel presenteren om hoofdstuk 33 over financiële en begrotingsbepalingen </w:t>
      </w:r>
      <w:r w:rsidRPr="009F047B" w:rsidR="00761FFB">
        <w:rPr>
          <w:rFonts w:ascii="Verdana" w:hAnsi="Verdana"/>
          <w:sz w:val="18"/>
          <w:szCs w:val="18"/>
        </w:rPr>
        <w:t xml:space="preserve">in de toetredingsonderhandelingen met Montenegro </w:t>
      </w:r>
      <w:r w:rsidRPr="009F047B" w:rsidR="007C586A">
        <w:rPr>
          <w:rFonts w:ascii="Verdana" w:hAnsi="Verdana"/>
          <w:sz w:val="18"/>
          <w:szCs w:val="18"/>
        </w:rPr>
        <w:t>onder voorbehoud te sluiten.</w:t>
      </w:r>
      <w:r w:rsidRPr="009F047B" w:rsidR="004F2279">
        <w:rPr>
          <w:rFonts w:ascii="Verdana" w:hAnsi="Verdana"/>
          <w:sz w:val="18"/>
          <w:szCs w:val="18"/>
        </w:rPr>
        <w:t xml:space="preserve"> </w:t>
      </w:r>
    </w:p>
    <w:p w:rsidR="00080D36" w:rsidP="001761C8" w:rsidRDefault="00080D36" w14:paraId="0493FE9F" w14:textId="77777777">
      <w:pPr>
        <w:tabs>
          <w:tab w:val="left" w:pos="360"/>
          <w:tab w:val="left" w:pos="4500"/>
          <w:tab w:val="left" w:pos="5580"/>
        </w:tabs>
        <w:spacing w:line="360" w:lineRule="auto"/>
        <w:rPr>
          <w:rFonts w:ascii="Verdana" w:hAnsi="Verdana"/>
          <w:sz w:val="18"/>
          <w:szCs w:val="18"/>
        </w:rPr>
      </w:pPr>
    </w:p>
    <w:p w:rsidRPr="009F047B" w:rsidR="00B63EB4" w:rsidP="001761C8" w:rsidRDefault="004F2279" w14:paraId="370EC845" w14:textId="3C9BC7EB">
      <w:pPr>
        <w:tabs>
          <w:tab w:val="left" w:pos="360"/>
          <w:tab w:val="left" w:pos="4500"/>
          <w:tab w:val="left" w:pos="5580"/>
        </w:tabs>
        <w:spacing w:line="360" w:lineRule="auto"/>
        <w:rPr>
          <w:rFonts w:ascii="Verdana" w:hAnsi="Verdana"/>
          <w:sz w:val="18"/>
          <w:szCs w:val="18"/>
        </w:rPr>
      </w:pPr>
      <w:r w:rsidRPr="009F047B">
        <w:rPr>
          <w:rFonts w:ascii="Verdana" w:hAnsi="Verdana"/>
          <w:sz w:val="18"/>
          <w:szCs w:val="18"/>
        </w:rPr>
        <w:lastRenderedPageBreak/>
        <w:t xml:space="preserve">Het MFK </w:t>
      </w:r>
      <w:r w:rsidRPr="009F047B" w:rsidR="00305F82">
        <w:rPr>
          <w:rFonts w:ascii="Verdana" w:hAnsi="Verdana"/>
          <w:sz w:val="18"/>
          <w:szCs w:val="18"/>
        </w:rPr>
        <w:t>moet</w:t>
      </w:r>
      <w:r w:rsidRPr="009F047B" w:rsidR="001D2CD5">
        <w:rPr>
          <w:rFonts w:ascii="Verdana" w:hAnsi="Verdana"/>
          <w:sz w:val="18"/>
          <w:szCs w:val="18"/>
        </w:rPr>
        <w:t>,</w:t>
      </w:r>
      <w:r w:rsidRPr="009F047B" w:rsidR="002771F4">
        <w:rPr>
          <w:rFonts w:ascii="Verdana" w:hAnsi="Verdana"/>
          <w:sz w:val="18"/>
          <w:szCs w:val="18"/>
        </w:rPr>
        <w:t xml:space="preserve"> c</w:t>
      </w:r>
      <w:r w:rsidRPr="009F047B" w:rsidR="00BE1DF9">
        <w:rPr>
          <w:rFonts w:ascii="Verdana" w:hAnsi="Verdana"/>
          <w:sz w:val="18"/>
          <w:szCs w:val="18"/>
        </w:rPr>
        <w:t>onform</w:t>
      </w:r>
      <w:r w:rsidRPr="009F047B" w:rsidR="002771F4">
        <w:rPr>
          <w:rFonts w:ascii="Verdana" w:hAnsi="Verdana"/>
          <w:sz w:val="18"/>
          <w:szCs w:val="18"/>
        </w:rPr>
        <w:t xml:space="preserve"> </w:t>
      </w:r>
      <w:r w:rsidRPr="009F047B" w:rsidR="00BE1DF9">
        <w:rPr>
          <w:rFonts w:ascii="Verdana" w:hAnsi="Verdana"/>
          <w:sz w:val="18"/>
          <w:szCs w:val="18"/>
        </w:rPr>
        <w:t>het voorstel voor de</w:t>
      </w:r>
      <w:r w:rsidRPr="009F047B" w:rsidR="002771F4">
        <w:rPr>
          <w:rFonts w:ascii="Verdana" w:hAnsi="Verdana"/>
          <w:sz w:val="18"/>
          <w:szCs w:val="18"/>
        </w:rPr>
        <w:t xml:space="preserve"> MFK-verordening</w:t>
      </w:r>
      <w:r w:rsidRPr="009F047B" w:rsidR="001D2CD5">
        <w:rPr>
          <w:rFonts w:ascii="Verdana" w:hAnsi="Verdana"/>
          <w:sz w:val="18"/>
          <w:szCs w:val="18"/>
        </w:rPr>
        <w:t>,</w:t>
      </w:r>
      <w:r w:rsidRPr="009F047B" w:rsidR="002771F4">
        <w:rPr>
          <w:rFonts w:ascii="Verdana" w:hAnsi="Verdana"/>
          <w:sz w:val="18"/>
          <w:szCs w:val="18"/>
        </w:rPr>
        <w:t xml:space="preserve"> </w:t>
      </w:r>
      <w:r w:rsidRPr="009F047B">
        <w:rPr>
          <w:rFonts w:ascii="Verdana" w:hAnsi="Verdana"/>
          <w:sz w:val="18"/>
          <w:szCs w:val="18"/>
        </w:rPr>
        <w:t xml:space="preserve">worden </w:t>
      </w:r>
      <w:r w:rsidRPr="009F047B" w:rsidR="008B0009">
        <w:rPr>
          <w:rFonts w:ascii="Verdana" w:hAnsi="Verdana"/>
          <w:sz w:val="18"/>
          <w:szCs w:val="18"/>
        </w:rPr>
        <w:t xml:space="preserve">aangepast </w:t>
      </w:r>
      <w:r w:rsidRPr="009F047B">
        <w:rPr>
          <w:rFonts w:ascii="Verdana" w:hAnsi="Verdana"/>
          <w:sz w:val="18"/>
          <w:szCs w:val="18"/>
        </w:rPr>
        <w:t xml:space="preserve">op het moment van toetreding om het definitieve </w:t>
      </w:r>
      <w:r w:rsidRPr="009F047B" w:rsidR="00EE75A1">
        <w:rPr>
          <w:rFonts w:ascii="Verdana" w:hAnsi="Verdana"/>
          <w:sz w:val="18"/>
          <w:szCs w:val="18"/>
        </w:rPr>
        <w:t>financiële</w:t>
      </w:r>
      <w:r w:rsidRPr="009F047B">
        <w:rPr>
          <w:rFonts w:ascii="Verdana" w:hAnsi="Verdana"/>
          <w:sz w:val="18"/>
          <w:szCs w:val="18"/>
        </w:rPr>
        <w:t xml:space="preserve"> pakket te verwerken.</w:t>
      </w:r>
      <w:r w:rsidRPr="009F047B" w:rsidR="007C586A">
        <w:rPr>
          <w:rFonts w:ascii="Verdana" w:hAnsi="Verdana"/>
          <w:sz w:val="18"/>
          <w:szCs w:val="18"/>
        </w:rPr>
        <w:br/>
      </w:r>
    </w:p>
    <w:p w:rsidRPr="009F047B" w:rsidR="00D47904" w:rsidP="006135CD" w:rsidRDefault="00B63EB4" w14:paraId="0F30D77E" w14:textId="79A38E0F">
      <w:pPr>
        <w:tabs>
          <w:tab w:val="left" w:pos="360"/>
          <w:tab w:val="left" w:pos="4500"/>
          <w:tab w:val="left" w:pos="5580"/>
        </w:tabs>
        <w:spacing w:line="360" w:lineRule="auto"/>
        <w:rPr>
          <w:rFonts w:ascii="Verdana" w:hAnsi="Verdana"/>
          <w:sz w:val="18"/>
          <w:szCs w:val="18"/>
        </w:rPr>
      </w:pPr>
      <w:r w:rsidRPr="009F047B">
        <w:rPr>
          <w:rFonts w:ascii="Verdana" w:hAnsi="Verdana"/>
          <w:sz w:val="18"/>
          <w:szCs w:val="18"/>
        </w:rPr>
        <w:t xml:space="preserve">Vanaf </w:t>
      </w:r>
      <w:r w:rsidRPr="009F047B" w:rsidR="002771F4">
        <w:rPr>
          <w:rFonts w:ascii="Verdana" w:hAnsi="Verdana"/>
          <w:sz w:val="18"/>
          <w:szCs w:val="18"/>
        </w:rPr>
        <w:t xml:space="preserve">het moment van </w:t>
      </w:r>
      <w:r w:rsidRPr="009F047B">
        <w:rPr>
          <w:rFonts w:ascii="Verdana" w:hAnsi="Verdana"/>
          <w:sz w:val="18"/>
          <w:szCs w:val="18"/>
        </w:rPr>
        <w:t>toetreding krijgt M</w:t>
      </w:r>
      <w:r w:rsidRPr="009F047B" w:rsidR="007C586A">
        <w:rPr>
          <w:rFonts w:ascii="Verdana" w:hAnsi="Verdana"/>
          <w:sz w:val="18"/>
          <w:szCs w:val="18"/>
        </w:rPr>
        <w:t>ontenegro</w:t>
      </w:r>
      <w:r w:rsidRPr="009F047B">
        <w:rPr>
          <w:rFonts w:ascii="Verdana" w:hAnsi="Verdana"/>
          <w:sz w:val="18"/>
          <w:szCs w:val="18"/>
        </w:rPr>
        <w:t xml:space="preserve"> dezelfde rechten en plichten als </w:t>
      </w:r>
      <w:r w:rsidRPr="009F047B" w:rsidR="007C586A">
        <w:rPr>
          <w:rFonts w:ascii="Verdana" w:hAnsi="Verdana"/>
          <w:sz w:val="18"/>
          <w:szCs w:val="18"/>
        </w:rPr>
        <w:t>huidige</w:t>
      </w:r>
      <w:r w:rsidRPr="009F047B">
        <w:rPr>
          <w:rFonts w:ascii="Verdana" w:hAnsi="Verdana"/>
          <w:sz w:val="18"/>
          <w:szCs w:val="18"/>
        </w:rPr>
        <w:t xml:space="preserve"> lidstaten: het draagt volledig bij aan de EU-begroting via het </w:t>
      </w:r>
      <w:r w:rsidRPr="009F047B" w:rsidR="008F1D50">
        <w:rPr>
          <w:rFonts w:ascii="Verdana" w:hAnsi="Verdana"/>
          <w:sz w:val="18"/>
          <w:szCs w:val="18"/>
        </w:rPr>
        <w:t>e</w:t>
      </w:r>
      <w:r w:rsidRPr="009F047B">
        <w:rPr>
          <w:rFonts w:ascii="Verdana" w:hAnsi="Verdana"/>
          <w:sz w:val="18"/>
          <w:szCs w:val="18"/>
        </w:rPr>
        <w:t>igenmiddelenbesluit en krijgt toegang tot alle EU-programma's en -fondsen.</w:t>
      </w:r>
      <w:bookmarkStart w:name="_Hlk233726570" w:id="0"/>
      <w:r w:rsidRPr="009F047B" w:rsidR="006F61C0">
        <w:rPr>
          <w:rFonts w:ascii="Verdana" w:hAnsi="Verdana"/>
          <w:sz w:val="18"/>
          <w:szCs w:val="18"/>
        </w:rPr>
        <w:t xml:space="preserve"> </w:t>
      </w:r>
      <w:r w:rsidRPr="009F047B">
        <w:rPr>
          <w:rFonts w:ascii="Verdana" w:hAnsi="Verdana"/>
          <w:sz w:val="18"/>
          <w:szCs w:val="18"/>
        </w:rPr>
        <w:t>De Commissie stelt een voorlopig financieel pakket voor van circa 3,</w:t>
      </w:r>
      <w:r w:rsidRPr="009F047B" w:rsidR="002771F4">
        <w:rPr>
          <w:rFonts w:ascii="Verdana" w:hAnsi="Verdana"/>
          <w:sz w:val="18"/>
          <w:szCs w:val="18"/>
        </w:rPr>
        <w:t xml:space="preserve">2 </w:t>
      </w:r>
      <w:r w:rsidRPr="009F047B">
        <w:rPr>
          <w:rFonts w:ascii="Verdana" w:hAnsi="Verdana"/>
          <w:sz w:val="18"/>
          <w:szCs w:val="18"/>
        </w:rPr>
        <w:t xml:space="preserve">miljard </w:t>
      </w:r>
      <w:r w:rsidRPr="009F047B" w:rsidR="00E0517F">
        <w:rPr>
          <w:rFonts w:ascii="Verdana" w:hAnsi="Verdana"/>
          <w:sz w:val="18"/>
          <w:szCs w:val="18"/>
        </w:rPr>
        <w:t>e</w:t>
      </w:r>
      <w:r w:rsidRPr="009F047B" w:rsidR="003F7910">
        <w:rPr>
          <w:rFonts w:ascii="Verdana" w:hAnsi="Verdana"/>
          <w:sz w:val="18"/>
          <w:szCs w:val="18"/>
        </w:rPr>
        <w:t xml:space="preserve">uro </w:t>
      </w:r>
      <w:r w:rsidRPr="009F047B">
        <w:rPr>
          <w:rFonts w:ascii="Verdana" w:hAnsi="Verdana"/>
          <w:sz w:val="18"/>
          <w:szCs w:val="18"/>
        </w:rPr>
        <w:t xml:space="preserve">(lopende prijzen) over zeven jaar, verdeeld over de vier pijlers zoals opgenomen in </w:t>
      </w:r>
      <w:r w:rsidRPr="009F047B" w:rsidR="002F63A8">
        <w:rPr>
          <w:rFonts w:ascii="Verdana" w:hAnsi="Verdana"/>
          <w:sz w:val="18"/>
          <w:szCs w:val="18"/>
        </w:rPr>
        <w:t>het Commissie</w:t>
      </w:r>
      <w:r w:rsidRPr="009F047B">
        <w:rPr>
          <w:rFonts w:ascii="Verdana" w:hAnsi="Verdana"/>
          <w:sz w:val="18"/>
          <w:szCs w:val="18"/>
        </w:rPr>
        <w:t>voorstel</w:t>
      </w:r>
      <w:r w:rsidRPr="009F047B" w:rsidR="002F63A8">
        <w:rPr>
          <w:rFonts w:ascii="Verdana" w:hAnsi="Verdana"/>
          <w:sz w:val="18"/>
          <w:szCs w:val="18"/>
        </w:rPr>
        <w:t xml:space="preserve"> voor het MFK 2028-2034</w:t>
      </w:r>
      <w:r w:rsidRPr="009F047B">
        <w:rPr>
          <w:rFonts w:ascii="Verdana" w:hAnsi="Verdana"/>
          <w:sz w:val="18"/>
          <w:szCs w:val="18"/>
        </w:rPr>
        <w:t>: Nationale en Regionale Partnerschap Plannen (</w:t>
      </w:r>
      <w:r w:rsidRPr="009F047B" w:rsidR="00BB1F83">
        <w:rPr>
          <w:rFonts w:ascii="Verdana" w:hAnsi="Verdana"/>
          <w:sz w:val="18"/>
          <w:szCs w:val="18"/>
        </w:rPr>
        <w:t>‘</w:t>
      </w:r>
      <w:r w:rsidRPr="009F047B">
        <w:rPr>
          <w:rFonts w:ascii="Verdana" w:hAnsi="Verdana"/>
          <w:sz w:val="18"/>
          <w:szCs w:val="18"/>
        </w:rPr>
        <w:t>NRPP</w:t>
      </w:r>
      <w:r w:rsidRPr="009F047B" w:rsidR="00BB1F83">
        <w:rPr>
          <w:rFonts w:ascii="Verdana" w:hAnsi="Verdana"/>
          <w:sz w:val="18"/>
          <w:szCs w:val="18"/>
        </w:rPr>
        <w:t>’</w:t>
      </w:r>
      <w:r w:rsidRPr="009F047B">
        <w:rPr>
          <w:rFonts w:ascii="Verdana" w:hAnsi="Verdana"/>
          <w:sz w:val="18"/>
          <w:szCs w:val="18"/>
        </w:rPr>
        <w:t>) (2,</w:t>
      </w:r>
      <w:r w:rsidRPr="009F047B" w:rsidR="002771F4">
        <w:rPr>
          <w:rFonts w:ascii="Verdana" w:hAnsi="Verdana"/>
          <w:sz w:val="18"/>
          <w:szCs w:val="18"/>
        </w:rPr>
        <w:t>1</w:t>
      </w:r>
      <w:r w:rsidRPr="009F047B" w:rsidR="00E0517F">
        <w:rPr>
          <w:rFonts w:ascii="Verdana" w:hAnsi="Verdana"/>
          <w:sz w:val="18"/>
          <w:szCs w:val="18"/>
        </w:rPr>
        <w:t xml:space="preserve"> </w:t>
      </w:r>
      <w:r w:rsidRPr="009F047B">
        <w:rPr>
          <w:rFonts w:ascii="Verdana" w:hAnsi="Verdana"/>
          <w:sz w:val="18"/>
          <w:szCs w:val="18"/>
        </w:rPr>
        <w:t xml:space="preserve">miljard </w:t>
      </w:r>
      <w:r w:rsidRPr="009F047B" w:rsidR="002771F4">
        <w:rPr>
          <w:rFonts w:ascii="Verdana" w:hAnsi="Verdana"/>
          <w:sz w:val="18"/>
          <w:szCs w:val="18"/>
        </w:rPr>
        <w:t>e</w:t>
      </w:r>
      <w:r w:rsidRPr="009F047B" w:rsidR="003F7910">
        <w:rPr>
          <w:rFonts w:ascii="Verdana" w:hAnsi="Verdana"/>
          <w:sz w:val="18"/>
          <w:szCs w:val="18"/>
        </w:rPr>
        <w:t>uro</w:t>
      </w:r>
      <w:r w:rsidRPr="009F047B">
        <w:rPr>
          <w:rFonts w:ascii="Verdana" w:hAnsi="Verdana"/>
          <w:sz w:val="18"/>
          <w:szCs w:val="18"/>
        </w:rPr>
        <w:t xml:space="preserve">), </w:t>
      </w:r>
      <w:r w:rsidRPr="009F047B" w:rsidR="00E722F9">
        <w:rPr>
          <w:rFonts w:ascii="Verdana" w:hAnsi="Verdana"/>
          <w:sz w:val="18"/>
          <w:szCs w:val="18"/>
        </w:rPr>
        <w:t xml:space="preserve">Europees Concurrentievermogen, </w:t>
      </w:r>
      <w:r w:rsidRPr="009F047B" w:rsidR="006A2815">
        <w:rPr>
          <w:rFonts w:ascii="Verdana" w:hAnsi="Verdana"/>
          <w:sz w:val="18"/>
          <w:szCs w:val="18"/>
        </w:rPr>
        <w:t>welvaart</w:t>
      </w:r>
      <w:r w:rsidRPr="009F047B" w:rsidR="00E722F9">
        <w:rPr>
          <w:rFonts w:ascii="Verdana" w:hAnsi="Verdana"/>
          <w:sz w:val="18"/>
          <w:szCs w:val="18"/>
        </w:rPr>
        <w:t xml:space="preserve"> en veiligheid (o.a. door deelname aan het Europees </w:t>
      </w:r>
      <w:r w:rsidRPr="009F047B">
        <w:rPr>
          <w:rFonts w:ascii="Verdana" w:hAnsi="Verdana"/>
          <w:sz w:val="18"/>
          <w:szCs w:val="18"/>
        </w:rPr>
        <w:t>Concurrentievermogen</w:t>
      </w:r>
      <w:r w:rsidRPr="009F047B" w:rsidR="004F2279">
        <w:rPr>
          <w:rFonts w:ascii="Verdana" w:hAnsi="Verdana"/>
          <w:sz w:val="18"/>
          <w:szCs w:val="18"/>
        </w:rPr>
        <w:t>fonds</w:t>
      </w:r>
      <w:r w:rsidRPr="009F047B">
        <w:rPr>
          <w:rFonts w:ascii="Verdana" w:hAnsi="Verdana"/>
          <w:sz w:val="18"/>
          <w:szCs w:val="18"/>
        </w:rPr>
        <w:t xml:space="preserve"> </w:t>
      </w:r>
      <w:r w:rsidRPr="009F047B" w:rsidR="004F2279">
        <w:rPr>
          <w:rFonts w:ascii="Verdana" w:hAnsi="Verdana"/>
          <w:sz w:val="18"/>
          <w:szCs w:val="18"/>
        </w:rPr>
        <w:t>(</w:t>
      </w:r>
      <w:r w:rsidRPr="009F047B" w:rsidR="00BB1F83">
        <w:rPr>
          <w:rFonts w:ascii="Verdana" w:hAnsi="Verdana"/>
          <w:sz w:val="18"/>
          <w:szCs w:val="18"/>
        </w:rPr>
        <w:t>‘</w:t>
      </w:r>
      <w:r w:rsidRPr="009F047B" w:rsidR="004F2279">
        <w:rPr>
          <w:rFonts w:ascii="Verdana" w:hAnsi="Verdana"/>
          <w:sz w:val="18"/>
          <w:szCs w:val="18"/>
        </w:rPr>
        <w:t>ECF</w:t>
      </w:r>
      <w:r w:rsidRPr="009F047B" w:rsidR="00BB1F83">
        <w:rPr>
          <w:rFonts w:ascii="Verdana" w:hAnsi="Verdana"/>
          <w:sz w:val="18"/>
          <w:szCs w:val="18"/>
        </w:rPr>
        <w:t>’</w:t>
      </w:r>
      <w:r w:rsidRPr="009F047B" w:rsidR="004F2279">
        <w:rPr>
          <w:rFonts w:ascii="Verdana" w:hAnsi="Verdana"/>
          <w:sz w:val="18"/>
          <w:szCs w:val="18"/>
        </w:rPr>
        <w:t>)</w:t>
      </w:r>
      <w:r w:rsidRPr="009F047B" w:rsidR="00E722F9">
        <w:rPr>
          <w:rFonts w:ascii="Verdana" w:hAnsi="Verdana"/>
          <w:sz w:val="18"/>
          <w:szCs w:val="18"/>
        </w:rPr>
        <w:t>)</w:t>
      </w:r>
      <w:r w:rsidRPr="009F047B">
        <w:rPr>
          <w:rFonts w:ascii="Verdana" w:hAnsi="Verdana"/>
          <w:sz w:val="18"/>
          <w:szCs w:val="18"/>
        </w:rPr>
        <w:t xml:space="preserve"> (523 miljoen </w:t>
      </w:r>
      <w:r w:rsidRPr="009F047B" w:rsidR="002771F4">
        <w:rPr>
          <w:rFonts w:ascii="Verdana" w:hAnsi="Verdana"/>
          <w:sz w:val="18"/>
          <w:szCs w:val="18"/>
        </w:rPr>
        <w:t>e</w:t>
      </w:r>
      <w:r w:rsidRPr="009F047B" w:rsidR="003F7910">
        <w:rPr>
          <w:rFonts w:ascii="Verdana" w:hAnsi="Verdana"/>
          <w:sz w:val="18"/>
          <w:szCs w:val="18"/>
        </w:rPr>
        <w:t>uro</w:t>
      </w:r>
      <w:r w:rsidRPr="009F047B">
        <w:rPr>
          <w:rFonts w:ascii="Verdana" w:hAnsi="Verdana"/>
          <w:sz w:val="18"/>
          <w:szCs w:val="18"/>
        </w:rPr>
        <w:t xml:space="preserve">), </w:t>
      </w:r>
      <w:r w:rsidRPr="009F047B" w:rsidR="004F2279">
        <w:rPr>
          <w:rFonts w:ascii="Verdana" w:hAnsi="Verdana"/>
          <w:sz w:val="18"/>
          <w:szCs w:val="18"/>
        </w:rPr>
        <w:t>Europa in de wereld</w:t>
      </w:r>
      <w:r w:rsidRPr="009F047B">
        <w:rPr>
          <w:rFonts w:ascii="Verdana" w:hAnsi="Verdana"/>
          <w:sz w:val="18"/>
          <w:szCs w:val="18"/>
        </w:rPr>
        <w:t xml:space="preserve"> </w:t>
      </w:r>
      <w:r w:rsidRPr="009F047B" w:rsidR="004F2279">
        <w:rPr>
          <w:rFonts w:ascii="Verdana" w:hAnsi="Verdana"/>
          <w:sz w:val="18"/>
          <w:szCs w:val="18"/>
        </w:rPr>
        <w:t>(</w:t>
      </w:r>
      <w:r w:rsidRPr="009F047B" w:rsidR="002771F4">
        <w:rPr>
          <w:rFonts w:ascii="Verdana" w:hAnsi="Verdana"/>
          <w:i/>
          <w:iCs/>
          <w:sz w:val="18"/>
          <w:szCs w:val="18"/>
        </w:rPr>
        <w:t>Global Europe</w:t>
      </w:r>
      <w:r w:rsidRPr="009F047B" w:rsidR="00EF0A42">
        <w:rPr>
          <w:rFonts w:ascii="Verdana" w:hAnsi="Verdana"/>
          <w:sz w:val="18"/>
          <w:szCs w:val="18"/>
        </w:rPr>
        <w:t>; ‘GE’</w:t>
      </w:r>
      <w:r w:rsidRPr="009F047B" w:rsidR="004F2279">
        <w:rPr>
          <w:rFonts w:ascii="Verdana" w:hAnsi="Verdana"/>
          <w:sz w:val="18"/>
          <w:szCs w:val="18"/>
        </w:rPr>
        <w:t>)</w:t>
      </w:r>
      <w:r w:rsidRPr="009F047B">
        <w:rPr>
          <w:rFonts w:ascii="Verdana" w:hAnsi="Verdana"/>
          <w:sz w:val="18"/>
          <w:szCs w:val="18"/>
        </w:rPr>
        <w:t xml:space="preserve"> (147 miljoen </w:t>
      </w:r>
      <w:r w:rsidRPr="009F047B" w:rsidR="002771F4">
        <w:rPr>
          <w:rFonts w:ascii="Verdana" w:hAnsi="Verdana"/>
          <w:sz w:val="18"/>
          <w:szCs w:val="18"/>
        </w:rPr>
        <w:t>e</w:t>
      </w:r>
      <w:r w:rsidRPr="009F047B" w:rsidR="003F7910">
        <w:rPr>
          <w:rFonts w:ascii="Verdana" w:hAnsi="Verdana"/>
          <w:sz w:val="18"/>
          <w:szCs w:val="18"/>
        </w:rPr>
        <w:t>uro</w:t>
      </w:r>
      <w:r w:rsidRPr="009F047B">
        <w:rPr>
          <w:rFonts w:ascii="Verdana" w:hAnsi="Verdana"/>
          <w:sz w:val="18"/>
          <w:szCs w:val="18"/>
        </w:rPr>
        <w:t xml:space="preserve">) en Administratie (442 miljoen </w:t>
      </w:r>
      <w:r w:rsidRPr="009F047B" w:rsidR="002771F4">
        <w:rPr>
          <w:rFonts w:ascii="Verdana" w:hAnsi="Verdana"/>
          <w:sz w:val="18"/>
          <w:szCs w:val="18"/>
        </w:rPr>
        <w:t>e</w:t>
      </w:r>
      <w:r w:rsidRPr="009F047B" w:rsidR="003F7910">
        <w:rPr>
          <w:rFonts w:ascii="Verdana" w:hAnsi="Verdana"/>
          <w:sz w:val="18"/>
          <w:szCs w:val="18"/>
        </w:rPr>
        <w:t>uro</w:t>
      </w:r>
      <w:r w:rsidRPr="009F047B">
        <w:rPr>
          <w:rFonts w:ascii="Verdana" w:hAnsi="Verdana"/>
          <w:sz w:val="18"/>
          <w:szCs w:val="18"/>
        </w:rPr>
        <w:t>).</w:t>
      </w:r>
      <w:bookmarkEnd w:id="0"/>
      <w:r w:rsidRPr="009F047B" w:rsidR="00FB2A9E">
        <w:rPr>
          <w:rFonts w:ascii="Verdana" w:hAnsi="Verdana"/>
          <w:sz w:val="18"/>
          <w:szCs w:val="18"/>
        </w:rPr>
        <w:t xml:space="preserve"> </w:t>
      </w:r>
    </w:p>
    <w:p w:rsidRPr="009F047B" w:rsidR="00D47904" w:rsidP="006135CD" w:rsidRDefault="00D47904" w14:paraId="4D1219EA" w14:textId="77777777">
      <w:pPr>
        <w:tabs>
          <w:tab w:val="left" w:pos="360"/>
          <w:tab w:val="left" w:pos="4500"/>
          <w:tab w:val="left" w:pos="5580"/>
        </w:tabs>
        <w:spacing w:line="360" w:lineRule="auto"/>
        <w:rPr>
          <w:rFonts w:ascii="Verdana" w:hAnsi="Verdana"/>
          <w:sz w:val="18"/>
          <w:szCs w:val="18"/>
        </w:rPr>
      </w:pPr>
    </w:p>
    <w:p w:rsidR="00B63EB4" w:rsidP="006135CD" w:rsidRDefault="002F662B" w14:paraId="603E26B8" w14:textId="3EFA7BCD">
      <w:pPr>
        <w:tabs>
          <w:tab w:val="left" w:pos="360"/>
          <w:tab w:val="left" w:pos="4500"/>
          <w:tab w:val="left" w:pos="5580"/>
        </w:tabs>
        <w:spacing w:line="360" w:lineRule="auto"/>
        <w:rPr>
          <w:rFonts w:ascii="Verdana" w:hAnsi="Verdana"/>
          <w:sz w:val="18"/>
          <w:szCs w:val="18"/>
        </w:rPr>
      </w:pPr>
      <w:r w:rsidRPr="009F047B">
        <w:rPr>
          <w:rFonts w:ascii="Verdana" w:hAnsi="Verdana"/>
          <w:sz w:val="18"/>
          <w:szCs w:val="18"/>
        </w:rPr>
        <w:t xml:space="preserve">Naar verwachting heeft Montenegro </w:t>
      </w:r>
      <w:r w:rsidRPr="009F047B" w:rsidR="002F63A8">
        <w:rPr>
          <w:rFonts w:ascii="Verdana" w:hAnsi="Verdana"/>
          <w:sz w:val="18"/>
          <w:szCs w:val="18"/>
        </w:rPr>
        <w:t>op de datum van het van toepassing worden</w:t>
      </w:r>
      <w:r w:rsidRPr="009F047B">
        <w:rPr>
          <w:rFonts w:ascii="Verdana" w:hAnsi="Verdana"/>
          <w:sz w:val="18"/>
          <w:szCs w:val="18"/>
        </w:rPr>
        <w:t xml:space="preserve"> van het nieuwe MFK nog de status van kandidaat-lidstaat. </w:t>
      </w:r>
      <w:r w:rsidRPr="009F047B" w:rsidR="00B63EB4">
        <w:rPr>
          <w:rFonts w:ascii="Verdana" w:hAnsi="Verdana"/>
          <w:sz w:val="18"/>
          <w:szCs w:val="18"/>
        </w:rPr>
        <w:t xml:space="preserve">Na </w:t>
      </w:r>
      <w:r w:rsidRPr="009F047B" w:rsidR="002F63A8">
        <w:rPr>
          <w:rFonts w:ascii="Verdana" w:hAnsi="Verdana"/>
          <w:sz w:val="18"/>
          <w:szCs w:val="18"/>
        </w:rPr>
        <w:t>die datum</w:t>
      </w:r>
      <w:r w:rsidRPr="009F047B" w:rsidR="00B63EB4">
        <w:rPr>
          <w:rFonts w:ascii="Verdana" w:hAnsi="Verdana"/>
          <w:sz w:val="18"/>
          <w:szCs w:val="18"/>
        </w:rPr>
        <w:t xml:space="preserve"> </w:t>
      </w:r>
      <w:r w:rsidRPr="009F047B" w:rsidR="004F2279">
        <w:rPr>
          <w:rFonts w:ascii="Verdana" w:hAnsi="Verdana"/>
          <w:sz w:val="18"/>
          <w:szCs w:val="18"/>
        </w:rPr>
        <w:t>ontvangt</w:t>
      </w:r>
      <w:r w:rsidRPr="009F047B" w:rsidR="00B63EB4">
        <w:rPr>
          <w:rFonts w:ascii="Verdana" w:hAnsi="Verdana"/>
          <w:sz w:val="18"/>
          <w:szCs w:val="18"/>
        </w:rPr>
        <w:t xml:space="preserve"> </w:t>
      </w:r>
      <w:r w:rsidRPr="009F047B" w:rsidR="003F7910">
        <w:rPr>
          <w:rFonts w:ascii="Verdana" w:hAnsi="Verdana"/>
          <w:sz w:val="18"/>
          <w:szCs w:val="18"/>
        </w:rPr>
        <w:t>Montenegro</w:t>
      </w:r>
      <w:r w:rsidRPr="009F047B" w:rsidR="00B63EB4">
        <w:rPr>
          <w:rFonts w:ascii="Verdana" w:hAnsi="Verdana"/>
          <w:sz w:val="18"/>
          <w:szCs w:val="18"/>
        </w:rPr>
        <w:t xml:space="preserve"> </w:t>
      </w:r>
      <w:r w:rsidRPr="009F047B" w:rsidR="00761FFB">
        <w:rPr>
          <w:rFonts w:ascii="Verdana" w:hAnsi="Verdana"/>
          <w:sz w:val="18"/>
          <w:szCs w:val="18"/>
        </w:rPr>
        <w:t>a</w:t>
      </w:r>
      <w:r w:rsidRPr="009F047B" w:rsidR="00B63EB4">
        <w:rPr>
          <w:rFonts w:ascii="Verdana" w:hAnsi="Verdana"/>
          <w:sz w:val="18"/>
          <w:szCs w:val="18"/>
        </w:rPr>
        <w:t xml:space="preserve">ls kandidaat-lidstaat </w:t>
      </w:r>
      <w:r w:rsidRPr="009F047B" w:rsidR="004F2279">
        <w:rPr>
          <w:rFonts w:ascii="Verdana" w:hAnsi="Verdana"/>
          <w:sz w:val="18"/>
          <w:szCs w:val="18"/>
        </w:rPr>
        <w:t xml:space="preserve">tot het moment van toetreding </w:t>
      </w:r>
      <w:r w:rsidRPr="009F047B">
        <w:rPr>
          <w:rFonts w:ascii="Verdana" w:hAnsi="Verdana"/>
          <w:sz w:val="18"/>
          <w:szCs w:val="18"/>
        </w:rPr>
        <w:t xml:space="preserve">daarom </w:t>
      </w:r>
      <w:r w:rsidRPr="009F047B" w:rsidR="00B63EB4">
        <w:rPr>
          <w:rFonts w:ascii="Verdana" w:hAnsi="Verdana"/>
          <w:sz w:val="18"/>
          <w:szCs w:val="18"/>
        </w:rPr>
        <w:t xml:space="preserve">steun vanuit </w:t>
      </w:r>
      <w:r w:rsidRPr="009F047B" w:rsidR="00404F48">
        <w:rPr>
          <w:rFonts w:ascii="Verdana" w:hAnsi="Verdana"/>
          <w:sz w:val="18"/>
          <w:szCs w:val="18"/>
        </w:rPr>
        <w:t xml:space="preserve">de MFK </w:t>
      </w:r>
      <w:r w:rsidRPr="009F047B" w:rsidR="00EF0A42">
        <w:rPr>
          <w:rFonts w:ascii="Verdana" w:hAnsi="Verdana"/>
          <w:sz w:val="18"/>
          <w:szCs w:val="18"/>
        </w:rPr>
        <w:t>GE</w:t>
      </w:r>
      <w:r w:rsidRPr="009F047B" w:rsidR="00EC1A5D">
        <w:rPr>
          <w:rFonts w:ascii="Verdana" w:hAnsi="Verdana"/>
          <w:sz w:val="18"/>
          <w:szCs w:val="18"/>
        </w:rPr>
        <w:t xml:space="preserve"> </w:t>
      </w:r>
      <w:r w:rsidRPr="009F047B" w:rsidR="00404F48">
        <w:rPr>
          <w:rFonts w:ascii="Verdana" w:hAnsi="Verdana"/>
          <w:sz w:val="18"/>
          <w:szCs w:val="18"/>
        </w:rPr>
        <w:t>pijler</w:t>
      </w:r>
      <w:r w:rsidRPr="009F047B" w:rsidR="00B63EB4">
        <w:rPr>
          <w:rFonts w:ascii="Verdana" w:hAnsi="Verdana"/>
          <w:sz w:val="18"/>
          <w:szCs w:val="18"/>
        </w:rPr>
        <w:t>. De C</w:t>
      </w:r>
      <w:r w:rsidRPr="009F047B" w:rsidR="00761FFB">
        <w:rPr>
          <w:rFonts w:ascii="Verdana" w:hAnsi="Verdana"/>
          <w:sz w:val="18"/>
          <w:szCs w:val="18"/>
        </w:rPr>
        <w:t xml:space="preserve">ommissie </w:t>
      </w:r>
      <w:r w:rsidRPr="009F047B" w:rsidR="00B63EB4">
        <w:rPr>
          <w:rFonts w:ascii="Verdana" w:hAnsi="Verdana"/>
          <w:sz w:val="18"/>
          <w:szCs w:val="18"/>
        </w:rPr>
        <w:t>stelt voor om na</w:t>
      </w:r>
      <w:r w:rsidRPr="009F047B" w:rsidR="006135CD">
        <w:rPr>
          <w:rFonts w:ascii="Verdana" w:hAnsi="Verdana"/>
          <w:sz w:val="18"/>
          <w:szCs w:val="18"/>
        </w:rPr>
        <w:t xml:space="preserve"> </w:t>
      </w:r>
      <w:r w:rsidRPr="009F047B" w:rsidR="00B63EB4">
        <w:rPr>
          <w:rFonts w:ascii="Verdana" w:hAnsi="Verdana"/>
          <w:sz w:val="18"/>
          <w:szCs w:val="18"/>
        </w:rPr>
        <w:t xml:space="preserve">toetreding </w:t>
      </w:r>
      <w:r w:rsidRPr="009F047B" w:rsidR="00761FFB">
        <w:rPr>
          <w:rFonts w:ascii="Verdana" w:hAnsi="Verdana"/>
          <w:sz w:val="18"/>
          <w:szCs w:val="18"/>
        </w:rPr>
        <w:t>het voor Montenegro beschikbare bedrag onder het</w:t>
      </w:r>
      <w:r w:rsidRPr="009F047B" w:rsidR="00B63EB4">
        <w:rPr>
          <w:rFonts w:ascii="Verdana" w:hAnsi="Verdana"/>
          <w:sz w:val="18"/>
          <w:szCs w:val="18"/>
        </w:rPr>
        <w:t xml:space="preserve"> NRP</w:t>
      </w:r>
      <w:r w:rsidRPr="009F047B" w:rsidR="0059433E">
        <w:rPr>
          <w:rFonts w:ascii="Verdana" w:hAnsi="Verdana"/>
          <w:sz w:val="18"/>
          <w:szCs w:val="18"/>
        </w:rPr>
        <w:t>-plan</w:t>
      </w:r>
      <w:r w:rsidRPr="009F047B" w:rsidR="00B63EB4">
        <w:rPr>
          <w:rFonts w:ascii="Verdana" w:hAnsi="Verdana"/>
          <w:sz w:val="18"/>
          <w:szCs w:val="18"/>
        </w:rPr>
        <w:t xml:space="preserve"> deels te bekostigen uit beschikbaar gestelde </w:t>
      </w:r>
      <w:r w:rsidRPr="009F047B" w:rsidR="00761FFB">
        <w:rPr>
          <w:rFonts w:ascii="Verdana" w:hAnsi="Verdana"/>
          <w:sz w:val="18"/>
          <w:szCs w:val="18"/>
        </w:rPr>
        <w:t>steun vanuit GE</w:t>
      </w:r>
      <w:r w:rsidRPr="009F047B" w:rsidR="00FB2A9E">
        <w:rPr>
          <w:rFonts w:ascii="Verdana" w:hAnsi="Verdana"/>
          <w:sz w:val="18"/>
          <w:szCs w:val="18"/>
        </w:rPr>
        <w:t xml:space="preserve">, wat resulteert in een lagere netto-budgettaire impact. </w:t>
      </w:r>
      <w:r w:rsidRPr="009F047B" w:rsidR="00B63EB4">
        <w:rPr>
          <w:rFonts w:ascii="Verdana" w:hAnsi="Verdana"/>
          <w:sz w:val="18"/>
          <w:szCs w:val="18"/>
        </w:rPr>
        <w:t>M</w:t>
      </w:r>
      <w:r w:rsidRPr="009F047B" w:rsidR="00761FFB">
        <w:rPr>
          <w:rFonts w:ascii="Verdana" w:hAnsi="Verdana"/>
          <w:sz w:val="18"/>
          <w:szCs w:val="18"/>
        </w:rPr>
        <w:t>ontenegro</w:t>
      </w:r>
      <w:r w:rsidRPr="009F047B" w:rsidR="00B63EB4">
        <w:rPr>
          <w:rFonts w:ascii="Verdana" w:hAnsi="Verdana"/>
          <w:sz w:val="18"/>
          <w:szCs w:val="18"/>
        </w:rPr>
        <w:t xml:space="preserve"> zal, net als andere (kandidaat-)lidstaten, werken met prestatiegerichte financiering</w:t>
      </w:r>
      <w:r w:rsidRPr="009F047B" w:rsidR="00BB1F83">
        <w:rPr>
          <w:rFonts w:ascii="Verdana" w:hAnsi="Verdana"/>
          <w:sz w:val="18"/>
          <w:szCs w:val="18"/>
        </w:rPr>
        <w:t>;</w:t>
      </w:r>
      <w:r w:rsidRPr="009F047B" w:rsidR="00B63EB4">
        <w:rPr>
          <w:rFonts w:ascii="Verdana" w:hAnsi="Verdana"/>
          <w:sz w:val="18"/>
          <w:szCs w:val="18"/>
        </w:rPr>
        <w:t xml:space="preserve"> uitbetalingen uit zowel GE als </w:t>
      </w:r>
      <w:r w:rsidRPr="009F047B" w:rsidR="00BB1F83">
        <w:rPr>
          <w:rFonts w:ascii="Verdana" w:hAnsi="Verdana"/>
          <w:sz w:val="18"/>
          <w:szCs w:val="18"/>
        </w:rPr>
        <w:t xml:space="preserve">de </w:t>
      </w:r>
      <w:r w:rsidRPr="009F047B" w:rsidR="00B63EB4">
        <w:rPr>
          <w:rFonts w:ascii="Verdana" w:hAnsi="Verdana"/>
          <w:sz w:val="18"/>
          <w:szCs w:val="18"/>
        </w:rPr>
        <w:t>NRPP zijn gekoppeld aan het behalen van afgesproken mijlpalen en doelstellingen voor investeringen en hervormingen. </w:t>
      </w:r>
      <w:r w:rsidRPr="009F047B" w:rsidR="00A933CD">
        <w:rPr>
          <w:rFonts w:ascii="Verdana" w:hAnsi="Verdana"/>
          <w:sz w:val="18"/>
          <w:szCs w:val="18"/>
        </w:rPr>
        <w:t>Bij</w:t>
      </w:r>
      <w:r w:rsidRPr="009F047B" w:rsidR="0059433E">
        <w:rPr>
          <w:rFonts w:ascii="Verdana" w:hAnsi="Verdana"/>
          <w:sz w:val="18"/>
          <w:szCs w:val="18"/>
        </w:rPr>
        <w:t xml:space="preserve"> het NRP-plan stelt de Commissie </w:t>
      </w:r>
      <w:r w:rsidRPr="009F047B" w:rsidR="00F622E2">
        <w:rPr>
          <w:rFonts w:ascii="Verdana" w:hAnsi="Verdana"/>
          <w:sz w:val="18"/>
          <w:szCs w:val="18"/>
        </w:rPr>
        <w:t xml:space="preserve">een </w:t>
      </w:r>
      <w:proofErr w:type="spellStart"/>
      <w:r w:rsidRPr="009F047B" w:rsidR="00F622E2">
        <w:rPr>
          <w:rFonts w:ascii="Verdana" w:hAnsi="Verdana"/>
          <w:sz w:val="18"/>
          <w:szCs w:val="18"/>
        </w:rPr>
        <w:t>infasering</w:t>
      </w:r>
      <w:proofErr w:type="spellEnd"/>
      <w:r w:rsidRPr="009F047B" w:rsidR="00F622E2">
        <w:rPr>
          <w:rFonts w:ascii="Verdana" w:hAnsi="Verdana"/>
          <w:sz w:val="18"/>
          <w:szCs w:val="18"/>
        </w:rPr>
        <w:t xml:space="preserve"> </w:t>
      </w:r>
      <w:r w:rsidRPr="009F047B">
        <w:rPr>
          <w:rFonts w:ascii="Verdana" w:hAnsi="Verdana"/>
          <w:sz w:val="18"/>
          <w:szCs w:val="18"/>
        </w:rPr>
        <w:t xml:space="preserve">voor </w:t>
      </w:r>
      <w:r w:rsidRPr="009F047B" w:rsidR="00F622E2">
        <w:rPr>
          <w:rFonts w:ascii="Verdana" w:hAnsi="Verdana"/>
          <w:sz w:val="18"/>
          <w:szCs w:val="18"/>
        </w:rPr>
        <w:t>in het G</w:t>
      </w:r>
      <w:r w:rsidRPr="009F047B" w:rsidR="009B6DF2">
        <w:rPr>
          <w:rFonts w:ascii="Verdana" w:hAnsi="Verdana"/>
          <w:sz w:val="18"/>
          <w:szCs w:val="18"/>
        </w:rPr>
        <w:t xml:space="preserve">emeenschappelijk </w:t>
      </w:r>
      <w:r w:rsidRPr="009F047B" w:rsidR="00F622E2">
        <w:rPr>
          <w:rFonts w:ascii="Verdana" w:hAnsi="Verdana"/>
          <w:sz w:val="18"/>
          <w:szCs w:val="18"/>
        </w:rPr>
        <w:t>L</w:t>
      </w:r>
      <w:r w:rsidRPr="009F047B" w:rsidR="009B6DF2">
        <w:rPr>
          <w:rFonts w:ascii="Verdana" w:hAnsi="Verdana"/>
          <w:sz w:val="18"/>
          <w:szCs w:val="18"/>
        </w:rPr>
        <w:t>andbouwbeleid (GL</w:t>
      </w:r>
      <w:r w:rsidRPr="009F047B" w:rsidR="00F622E2">
        <w:rPr>
          <w:rFonts w:ascii="Verdana" w:hAnsi="Verdana"/>
          <w:sz w:val="18"/>
          <w:szCs w:val="18"/>
        </w:rPr>
        <w:t>B</w:t>
      </w:r>
      <w:r w:rsidRPr="009F047B" w:rsidR="009B6DF2">
        <w:rPr>
          <w:rFonts w:ascii="Verdana" w:hAnsi="Verdana"/>
          <w:sz w:val="18"/>
          <w:szCs w:val="18"/>
        </w:rPr>
        <w:t>)</w:t>
      </w:r>
      <w:r w:rsidRPr="009F047B" w:rsidR="00F622E2">
        <w:rPr>
          <w:rFonts w:ascii="Verdana" w:hAnsi="Verdana"/>
          <w:sz w:val="18"/>
          <w:szCs w:val="18"/>
        </w:rPr>
        <w:t xml:space="preserve"> over een periode van 10 jaar</w:t>
      </w:r>
      <w:r w:rsidRPr="009F047B">
        <w:rPr>
          <w:rFonts w:ascii="Verdana" w:hAnsi="Verdana"/>
          <w:sz w:val="18"/>
          <w:szCs w:val="18"/>
        </w:rPr>
        <w:t>, net als bij vorige toetredingen</w:t>
      </w:r>
      <w:r w:rsidRPr="009F047B" w:rsidR="00F622E2">
        <w:rPr>
          <w:rFonts w:ascii="Verdana" w:hAnsi="Verdana"/>
          <w:sz w:val="18"/>
          <w:szCs w:val="18"/>
        </w:rPr>
        <w:t>.</w:t>
      </w:r>
      <w:r w:rsidRPr="009F047B" w:rsidR="0059433E">
        <w:rPr>
          <w:rFonts w:ascii="Verdana" w:hAnsi="Verdana"/>
          <w:sz w:val="18"/>
          <w:szCs w:val="18"/>
        </w:rPr>
        <w:t xml:space="preserve"> De Commissie stelt verder voor om de HOME-fondsen</w:t>
      </w:r>
      <w:r w:rsidRPr="009F047B" w:rsidR="00CB468F">
        <w:rPr>
          <w:rStyle w:val="Voetnootmarkering"/>
          <w:rFonts w:ascii="Verdana" w:hAnsi="Verdana"/>
          <w:sz w:val="18"/>
          <w:szCs w:val="18"/>
        </w:rPr>
        <w:footnoteReference w:id="2"/>
      </w:r>
      <w:r w:rsidRPr="009F047B" w:rsidR="0059433E">
        <w:rPr>
          <w:rFonts w:ascii="Verdana" w:hAnsi="Verdana"/>
          <w:sz w:val="18"/>
          <w:szCs w:val="18"/>
        </w:rPr>
        <w:t xml:space="preserve"> meteen ter beschikking te stellen aan Montenegro gezien het belang van voortzetting van investeringen in grensinfrastructuur en het beschermen van </w:t>
      </w:r>
      <w:r w:rsidRPr="009F047B">
        <w:rPr>
          <w:rFonts w:ascii="Verdana" w:hAnsi="Verdana"/>
          <w:sz w:val="18"/>
          <w:szCs w:val="18"/>
        </w:rPr>
        <w:t xml:space="preserve">de </w:t>
      </w:r>
      <w:r w:rsidRPr="009F047B" w:rsidR="0059433E">
        <w:rPr>
          <w:rFonts w:ascii="Verdana" w:hAnsi="Verdana"/>
          <w:sz w:val="18"/>
          <w:szCs w:val="18"/>
        </w:rPr>
        <w:t>interne veiligheid van de EU</w:t>
      </w:r>
      <w:r w:rsidRPr="009F047B" w:rsidR="00BB1F83">
        <w:rPr>
          <w:rFonts w:ascii="Verdana" w:hAnsi="Verdana"/>
          <w:sz w:val="18"/>
          <w:szCs w:val="18"/>
        </w:rPr>
        <w:t>.</w:t>
      </w:r>
      <w:r w:rsidRPr="009F047B" w:rsidR="0059433E">
        <w:rPr>
          <w:rFonts w:ascii="Verdana" w:hAnsi="Verdana"/>
          <w:sz w:val="18"/>
          <w:szCs w:val="18"/>
        </w:rPr>
        <w:t xml:space="preserve"> Gezien het relatief beperkte absorptievermogen van Montenegro stelt de Commissie voor om de allocatie </w:t>
      </w:r>
      <w:r w:rsidRPr="009F047B" w:rsidR="00200A0B">
        <w:rPr>
          <w:rFonts w:ascii="Verdana" w:hAnsi="Verdana"/>
          <w:sz w:val="18"/>
          <w:szCs w:val="18"/>
        </w:rPr>
        <w:t xml:space="preserve">van de HOME-fondsen </w:t>
      </w:r>
      <w:r w:rsidRPr="009F047B" w:rsidR="0059433E">
        <w:rPr>
          <w:rFonts w:ascii="Verdana" w:hAnsi="Verdana"/>
          <w:sz w:val="18"/>
          <w:szCs w:val="18"/>
        </w:rPr>
        <w:t>te beperken tot 70%</w:t>
      </w:r>
      <w:r w:rsidRPr="009F047B">
        <w:rPr>
          <w:rFonts w:ascii="Verdana" w:hAnsi="Verdana"/>
          <w:sz w:val="18"/>
          <w:szCs w:val="18"/>
        </w:rPr>
        <w:t xml:space="preserve"> van de volledige toewijzing</w:t>
      </w:r>
      <w:r w:rsidRPr="009F047B" w:rsidR="0059433E">
        <w:rPr>
          <w:rFonts w:ascii="Verdana" w:hAnsi="Verdana"/>
          <w:sz w:val="18"/>
          <w:szCs w:val="18"/>
        </w:rPr>
        <w:t>.</w:t>
      </w:r>
      <w:r w:rsidRPr="009F047B" w:rsidR="00FB2A9E">
        <w:rPr>
          <w:rFonts w:ascii="Verdana" w:hAnsi="Verdana"/>
          <w:sz w:val="18"/>
          <w:szCs w:val="18"/>
        </w:rPr>
        <w:t xml:space="preserve"> Voor pijler </w:t>
      </w:r>
      <w:r w:rsidRPr="009F047B" w:rsidR="00724E07">
        <w:rPr>
          <w:rFonts w:ascii="Verdana" w:hAnsi="Verdana"/>
          <w:sz w:val="18"/>
          <w:szCs w:val="18"/>
        </w:rPr>
        <w:t xml:space="preserve">3 over GE </w:t>
      </w:r>
      <w:r w:rsidRPr="009F047B" w:rsidR="00FB2A9E">
        <w:rPr>
          <w:rFonts w:ascii="Verdana" w:hAnsi="Verdana"/>
          <w:sz w:val="18"/>
          <w:szCs w:val="18"/>
        </w:rPr>
        <w:t>stelt de Commissie een verhoging</w:t>
      </w:r>
      <w:r w:rsidRPr="009F047B" w:rsidR="00200A0B">
        <w:rPr>
          <w:rFonts w:ascii="Verdana" w:hAnsi="Verdana"/>
          <w:sz w:val="18"/>
          <w:szCs w:val="18"/>
        </w:rPr>
        <w:t xml:space="preserve"> </w:t>
      </w:r>
      <w:r w:rsidRPr="009F047B" w:rsidR="00AD73F3">
        <w:rPr>
          <w:rFonts w:ascii="Verdana" w:hAnsi="Verdana"/>
          <w:sz w:val="18"/>
          <w:szCs w:val="18"/>
        </w:rPr>
        <w:t xml:space="preserve">voor van de pilaren met uitzondering van  </w:t>
      </w:r>
      <w:r w:rsidRPr="009F047B" w:rsidR="00AD73F3">
        <w:rPr>
          <w:rFonts w:ascii="Verdana" w:hAnsi="Verdana"/>
          <w:sz w:val="18"/>
          <w:szCs w:val="18"/>
        </w:rPr>
        <w:br/>
        <w:t xml:space="preserve">de regionale pijler voor Europa, </w:t>
      </w:r>
      <w:r w:rsidRPr="009F047B" w:rsidR="001810FA">
        <w:rPr>
          <w:rFonts w:ascii="Verdana" w:hAnsi="Verdana"/>
          <w:sz w:val="18"/>
          <w:szCs w:val="18"/>
        </w:rPr>
        <w:t xml:space="preserve">om </w:t>
      </w:r>
      <w:r w:rsidRPr="009F047B" w:rsidR="00265F45">
        <w:rPr>
          <w:rFonts w:ascii="Verdana" w:hAnsi="Verdana"/>
          <w:sz w:val="18"/>
          <w:szCs w:val="18"/>
        </w:rPr>
        <w:t xml:space="preserve">zo </w:t>
      </w:r>
      <w:r w:rsidRPr="009F047B" w:rsidR="001810FA">
        <w:rPr>
          <w:rFonts w:ascii="Verdana" w:hAnsi="Verdana"/>
          <w:iCs/>
          <w:sz w:val="18"/>
          <w:szCs w:val="18"/>
        </w:rPr>
        <w:t>een groter budget voor extern optreden te realiseren</w:t>
      </w:r>
      <w:r w:rsidRPr="009F047B" w:rsidR="00265F45">
        <w:rPr>
          <w:rFonts w:ascii="Verdana" w:hAnsi="Verdana"/>
          <w:iCs/>
          <w:sz w:val="18"/>
          <w:szCs w:val="18"/>
        </w:rPr>
        <w:t xml:space="preserve"> na EU-toetreding van Montenegro</w:t>
      </w:r>
      <w:r w:rsidRPr="009F047B" w:rsidR="00200A0B">
        <w:rPr>
          <w:rFonts w:ascii="Verdana" w:hAnsi="Verdana"/>
          <w:iCs/>
          <w:sz w:val="18"/>
          <w:szCs w:val="18"/>
        </w:rPr>
        <w:t xml:space="preserve">. </w:t>
      </w:r>
      <w:r w:rsidRPr="009F047B" w:rsidR="007B540B">
        <w:rPr>
          <w:rFonts w:ascii="Verdana" w:hAnsi="Verdana"/>
          <w:sz w:val="18"/>
          <w:szCs w:val="18"/>
        </w:rPr>
        <w:t xml:space="preserve">De verhoging van deze pijler, evenals die van de middelen uit </w:t>
      </w:r>
      <w:r w:rsidRPr="009F047B" w:rsidR="005400B4">
        <w:rPr>
          <w:rFonts w:ascii="Verdana" w:hAnsi="Verdana"/>
          <w:sz w:val="18"/>
          <w:szCs w:val="18"/>
        </w:rPr>
        <w:t>pijler 1</w:t>
      </w:r>
      <w:r w:rsidRPr="009F047B" w:rsidR="007B540B">
        <w:rPr>
          <w:rFonts w:ascii="Verdana" w:hAnsi="Verdana"/>
          <w:sz w:val="18"/>
          <w:szCs w:val="18"/>
        </w:rPr>
        <w:t xml:space="preserve"> en 2, wordt bepaald op basis van het aandeel van de bevolking en het bbp van M</w:t>
      </w:r>
      <w:r w:rsidRPr="009F047B" w:rsidR="00F02920">
        <w:rPr>
          <w:rFonts w:ascii="Verdana" w:hAnsi="Verdana"/>
          <w:sz w:val="18"/>
          <w:szCs w:val="18"/>
        </w:rPr>
        <w:t>ontenegro</w:t>
      </w:r>
      <w:r w:rsidRPr="009F047B" w:rsidR="007B540B">
        <w:rPr>
          <w:rFonts w:ascii="Verdana" w:hAnsi="Verdana"/>
          <w:sz w:val="18"/>
          <w:szCs w:val="18"/>
        </w:rPr>
        <w:t xml:space="preserve"> in </w:t>
      </w:r>
      <w:r w:rsidRPr="009F047B" w:rsidR="009B6DF2">
        <w:rPr>
          <w:rFonts w:ascii="Verdana" w:hAnsi="Verdana"/>
          <w:sz w:val="18"/>
          <w:szCs w:val="18"/>
        </w:rPr>
        <w:t>een</w:t>
      </w:r>
      <w:r w:rsidRPr="009F047B" w:rsidR="007B540B">
        <w:rPr>
          <w:rFonts w:ascii="Verdana" w:hAnsi="Verdana"/>
          <w:sz w:val="18"/>
          <w:szCs w:val="18"/>
        </w:rPr>
        <w:t xml:space="preserve"> EU-28, conform de werkwijze die is toegepast bij eerdere toetredingen. Voor pijler 4 is een stijging voorzien vanwege de vaste administratieve kosten die gepaard gaan met de toetreding van een nieuw land, zoals vertaalkosten.</w:t>
      </w:r>
      <w:r w:rsidRPr="009F047B" w:rsidR="005400B4">
        <w:rPr>
          <w:rFonts w:ascii="Verdana" w:hAnsi="Verdana"/>
          <w:sz w:val="18"/>
          <w:szCs w:val="18"/>
        </w:rPr>
        <w:br/>
      </w:r>
    </w:p>
    <w:p w:rsidR="00F96DA3" w:rsidP="006135CD" w:rsidRDefault="00F96DA3" w14:paraId="0C77803F" w14:textId="77777777">
      <w:pPr>
        <w:tabs>
          <w:tab w:val="left" w:pos="360"/>
          <w:tab w:val="left" w:pos="4500"/>
          <w:tab w:val="left" w:pos="5580"/>
        </w:tabs>
        <w:spacing w:line="360" w:lineRule="auto"/>
        <w:rPr>
          <w:rFonts w:ascii="Verdana" w:hAnsi="Verdana"/>
          <w:sz w:val="18"/>
          <w:szCs w:val="18"/>
        </w:rPr>
      </w:pPr>
    </w:p>
    <w:p w:rsidR="00F96DA3" w:rsidP="006135CD" w:rsidRDefault="00F96DA3" w14:paraId="3ED9F512" w14:textId="77777777">
      <w:pPr>
        <w:tabs>
          <w:tab w:val="left" w:pos="360"/>
          <w:tab w:val="left" w:pos="4500"/>
          <w:tab w:val="left" w:pos="5580"/>
        </w:tabs>
        <w:spacing w:line="360" w:lineRule="auto"/>
        <w:rPr>
          <w:rFonts w:ascii="Verdana" w:hAnsi="Verdana"/>
          <w:sz w:val="18"/>
          <w:szCs w:val="18"/>
        </w:rPr>
      </w:pPr>
    </w:p>
    <w:p w:rsidR="00F96DA3" w:rsidP="006135CD" w:rsidRDefault="00F96DA3" w14:paraId="4AA00A06" w14:textId="77777777">
      <w:pPr>
        <w:tabs>
          <w:tab w:val="left" w:pos="360"/>
          <w:tab w:val="left" w:pos="4500"/>
          <w:tab w:val="left" w:pos="5580"/>
        </w:tabs>
        <w:spacing w:line="360" w:lineRule="auto"/>
        <w:rPr>
          <w:rFonts w:ascii="Verdana" w:hAnsi="Verdana"/>
          <w:sz w:val="18"/>
          <w:szCs w:val="18"/>
        </w:rPr>
      </w:pPr>
    </w:p>
    <w:p w:rsidRPr="009F047B" w:rsidR="00F96DA3" w:rsidP="006135CD" w:rsidRDefault="00F96DA3" w14:paraId="30A433D3" w14:textId="77777777">
      <w:pPr>
        <w:tabs>
          <w:tab w:val="left" w:pos="360"/>
          <w:tab w:val="left" w:pos="4500"/>
          <w:tab w:val="left" w:pos="5580"/>
        </w:tabs>
        <w:spacing w:line="360" w:lineRule="auto"/>
        <w:rPr>
          <w:rFonts w:ascii="Verdana" w:hAnsi="Verdana"/>
          <w:sz w:val="18"/>
          <w:szCs w:val="18"/>
        </w:rPr>
      </w:pPr>
    </w:p>
    <w:p w:rsidRPr="009F047B" w:rsidR="00B63EB4" w:rsidP="006135CD" w:rsidRDefault="00B63EB4" w14:paraId="4B60409A" w14:textId="598D84BC">
      <w:pPr>
        <w:tabs>
          <w:tab w:val="left" w:pos="360"/>
          <w:tab w:val="left" w:pos="4500"/>
          <w:tab w:val="left" w:pos="5580"/>
        </w:tabs>
        <w:spacing w:line="360" w:lineRule="auto"/>
        <w:rPr>
          <w:rFonts w:ascii="Verdana" w:hAnsi="Verdana"/>
          <w:sz w:val="18"/>
          <w:szCs w:val="18"/>
        </w:rPr>
      </w:pPr>
      <w:r w:rsidRPr="009F047B">
        <w:rPr>
          <w:rFonts w:ascii="Verdana" w:hAnsi="Verdana"/>
          <w:sz w:val="18"/>
          <w:szCs w:val="18"/>
        </w:rPr>
        <w:lastRenderedPageBreak/>
        <w:t xml:space="preserve">Om </w:t>
      </w:r>
      <w:r w:rsidRPr="009F047B" w:rsidR="00FB2A9E">
        <w:rPr>
          <w:rFonts w:ascii="Verdana" w:hAnsi="Verdana"/>
          <w:sz w:val="18"/>
          <w:szCs w:val="18"/>
        </w:rPr>
        <w:t>toekomstige EU-</w:t>
      </w:r>
      <w:r w:rsidRPr="009F047B">
        <w:rPr>
          <w:rFonts w:ascii="Verdana" w:hAnsi="Verdana"/>
          <w:sz w:val="18"/>
          <w:szCs w:val="18"/>
        </w:rPr>
        <w:t>toetreding mogelijk te maken zal het MFK 2028–2034</w:t>
      </w:r>
      <w:r w:rsidRPr="009F047B" w:rsidR="00FB2A9E">
        <w:rPr>
          <w:rFonts w:ascii="Verdana" w:hAnsi="Verdana"/>
          <w:sz w:val="18"/>
          <w:szCs w:val="18"/>
        </w:rPr>
        <w:t xml:space="preserve"> op een later moment</w:t>
      </w:r>
      <w:r w:rsidRPr="009F047B">
        <w:rPr>
          <w:rFonts w:ascii="Verdana" w:hAnsi="Verdana"/>
          <w:sz w:val="18"/>
          <w:szCs w:val="18"/>
        </w:rPr>
        <w:t xml:space="preserve"> moeten worden aangepast door verhoging van de uitgavenplafonds. De jaarlijkse bruto kosten lopen </w:t>
      </w:r>
      <w:r w:rsidRPr="009F047B" w:rsidR="00A9570C">
        <w:rPr>
          <w:rFonts w:ascii="Verdana" w:hAnsi="Verdana"/>
          <w:sz w:val="18"/>
          <w:szCs w:val="18"/>
        </w:rPr>
        <w:t xml:space="preserve">in het voorstel </w:t>
      </w:r>
      <w:r w:rsidRPr="009F047B">
        <w:rPr>
          <w:rFonts w:ascii="Verdana" w:hAnsi="Verdana"/>
          <w:sz w:val="18"/>
          <w:szCs w:val="18"/>
        </w:rPr>
        <w:t>op van circa 380 miljoen</w:t>
      </w:r>
      <w:r w:rsidRPr="009F047B" w:rsidR="008F1D50">
        <w:rPr>
          <w:rFonts w:ascii="Verdana" w:hAnsi="Verdana"/>
          <w:sz w:val="18"/>
          <w:szCs w:val="18"/>
        </w:rPr>
        <w:t xml:space="preserve"> euro</w:t>
      </w:r>
      <w:r w:rsidRPr="009F047B">
        <w:rPr>
          <w:rFonts w:ascii="Verdana" w:hAnsi="Verdana"/>
          <w:sz w:val="18"/>
          <w:szCs w:val="18"/>
        </w:rPr>
        <w:t xml:space="preserve"> in 2028 tot 500 miljoen </w:t>
      </w:r>
      <w:r w:rsidRPr="009F047B" w:rsidR="008F1D50">
        <w:rPr>
          <w:rFonts w:ascii="Verdana" w:hAnsi="Verdana"/>
          <w:sz w:val="18"/>
          <w:szCs w:val="18"/>
        </w:rPr>
        <w:t xml:space="preserve">euro </w:t>
      </w:r>
      <w:r w:rsidRPr="009F047B">
        <w:rPr>
          <w:rFonts w:ascii="Verdana" w:hAnsi="Verdana"/>
          <w:sz w:val="18"/>
          <w:szCs w:val="18"/>
        </w:rPr>
        <w:t xml:space="preserve">in 2034. De netto financiële impact voor de huidige lidstaten wordt </w:t>
      </w:r>
      <w:r w:rsidRPr="009F047B" w:rsidR="00AD73F3">
        <w:rPr>
          <w:rFonts w:ascii="Verdana" w:hAnsi="Verdana"/>
          <w:sz w:val="18"/>
          <w:szCs w:val="18"/>
        </w:rPr>
        <w:t xml:space="preserve">volgens de Commissie </w:t>
      </w:r>
      <w:r w:rsidRPr="009F047B">
        <w:rPr>
          <w:rFonts w:ascii="Verdana" w:hAnsi="Verdana"/>
          <w:sz w:val="18"/>
          <w:szCs w:val="18"/>
        </w:rPr>
        <w:t xml:space="preserve">verder beperkt door </w:t>
      </w:r>
      <w:r w:rsidRPr="009F047B" w:rsidR="006135CD">
        <w:rPr>
          <w:rFonts w:ascii="Verdana" w:hAnsi="Verdana"/>
          <w:sz w:val="18"/>
          <w:szCs w:val="18"/>
        </w:rPr>
        <w:t>toekomstige</w:t>
      </w:r>
      <w:r w:rsidRPr="009F047B">
        <w:rPr>
          <w:rFonts w:ascii="Verdana" w:hAnsi="Verdana"/>
          <w:sz w:val="18"/>
          <w:szCs w:val="18"/>
        </w:rPr>
        <w:t xml:space="preserve"> afdrachten van M</w:t>
      </w:r>
      <w:r w:rsidRPr="009F047B" w:rsidR="006135CD">
        <w:rPr>
          <w:rFonts w:ascii="Verdana" w:hAnsi="Verdana"/>
          <w:sz w:val="18"/>
          <w:szCs w:val="18"/>
        </w:rPr>
        <w:t>ontenegro</w:t>
      </w:r>
      <w:r w:rsidRPr="009F047B">
        <w:rPr>
          <w:rFonts w:ascii="Verdana" w:hAnsi="Verdana"/>
          <w:sz w:val="18"/>
          <w:szCs w:val="18"/>
        </w:rPr>
        <w:t xml:space="preserve"> aan de EU uit hoofde van het eigenmiddelenbesluit. </w:t>
      </w:r>
    </w:p>
    <w:p w:rsidRPr="009F047B" w:rsidR="00066C36" w:rsidP="001761C8" w:rsidRDefault="00066C36" w14:paraId="121DC9F0" w14:textId="0409FB34">
      <w:pPr>
        <w:tabs>
          <w:tab w:val="left" w:pos="360"/>
          <w:tab w:val="left" w:pos="4500"/>
          <w:tab w:val="left" w:pos="5580"/>
        </w:tabs>
        <w:spacing w:line="360" w:lineRule="auto"/>
        <w:rPr>
          <w:rFonts w:ascii="Verdana" w:hAnsi="Verdana"/>
          <w:sz w:val="18"/>
          <w:szCs w:val="18"/>
        </w:rPr>
      </w:pPr>
    </w:p>
    <w:p w:rsidRPr="009F047B" w:rsidR="008528D9" w:rsidP="008528D9" w:rsidRDefault="008528D9" w14:paraId="1BD8A94C" w14:textId="77777777">
      <w:pPr>
        <w:numPr>
          <w:ilvl w:val="0"/>
          <w:numId w:val="15"/>
        </w:numPr>
        <w:tabs>
          <w:tab w:val="left" w:pos="360"/>
        </w:tabs>
        <w:spacing w:line="360" w:lineRule="auto"/>
        <w:rPr>
          <w:rFonts w:ascii="Verdana" w:hAnsi="Verdana"/>
          <w:b/>
          <w:sz w:val="18"/>
          <w:szCs w:val="18"/>
        </w:rPr>
      </w:pPr>
      <w:r w:rsidRPr="009F047B">
        <w:rPr>
          <w:rFonts w:ascii="Verdana" w:hAnsi="Verdana"/>
          <w:b/>
          <w:sz w:val="18"/>
          <w:szCs w:val="18"/>
        </w:rPr>
        <w:t>Nederlandse positie ten aanzien van het voorstel</w:t>
      </w:r>
    </w:p>
    <w:p w:rsidRPr="009F047B" w:rsidR="00605B43" w:rsidP="0037673F" w:rsidRDefault="00FD0CBD" w14:paraId="6E8A64F8" w14:textId="77777777">
      <w:pPr>
        <w:numPr>
          <w:ilvl w:val="0"/>
          <w:numId w:val="21"/>
        </w:numPr>
        <w:spacing w:line="360" w:lineRule="auto"/>
        <w:rPr>
          <w:rFonts w:ascii="Verdana" w:hAnsi="Verdana"/>
          <w:iCs/>
          <w:sz w:val="18"/>
          <w:szCs w:val="18"/>
        </w:rPr>
      </w:pPr>
      <w:r w:rsidRPr="009F047B">
        <w:rPr>
          <w:rFonts w:ascii="Verdana" w:hAnsi="Verdana"/>
          <w:i/>
          <w:sz w:val="18"/>
          <w:szCs w:val="18"/>
        </w:rPr>
        <w:t>Essentie Nederlands beleid op dit terrein</w:t>
      </w:r>
    </w:p>
    <w:p w:rsidRPr="009F047B" w:rsidR="00FD0CBD" w:rsidP="00605B43" w:rsidRDefault="007F1195" w14:paraId="61E3896C" w14:textId="26012BD0">
      <w:pPr>
        <w:spacing w:line="360" w:lineRule="auto"/>
        <w:rPr>
          <w:rFonts w:ascii="Verdana" w:hAnsi="Verdana"/>
          <w:iCs/>
          <w:sz w:val="18"/>
          <w:szCs w:val="18"/>
        </w:rPr>
      </w:pPr>
      <w:r w:rsidRPr="009F047B">
        <w:rPr>
          <w:rFonts w:ascii="Verdana" w:hAnsi="Verdana"/>
          <w:iCs/>
          <w:sz w:val="18"/>
          <w:szCs w:val="18"/>
        </w:rPr>
        <w:t xml:space="preserve">Het kabinet hanteert een strikt, </w:t>
      </w:r>
      <w:r w:rsidRPr="009F047B">
        <w:rPr>
          <w:rFonts w:ascii="Verdana" w:hAnsi="Verdana"/>
          <w:i/>
          <w:sz w:val="18"/>
          <w:szCs w:val="18"/>
        </w:rPr>
        <w:t>fair</w:t>
      </w:r>
      <w:r w:rsidRPr="009F047B">
        <w:rPr>
          <w:rFonts w:ascii="Verdana" w:hAnsi="Verdana"/>
          <w:iCs/>
          <w:sz w:val="18"/>
          <w:szCs w:val="18"/>
        </w:rPr>
        <w:t xml:space="preserve"> en betrokken EU-uitbreidingsbeleid, dat gebaseerd is op verdiensten (</w:t>
      </w:r>
      <w:proofErr w:type="spellStart"/>
      <w:r w:rsidRPr="009F047B">
        <w:rPr>
          <w:rFonts w:ascii="Verdana" w:hAnsi="Verdana"/>
          <w:i/>
          <w:sz w:val="18"/>
          <w:szCs w:val="18"/>
        </w:rPr>
        <w:t>merit-based</w:t>
      </w:r>
      <w:proofErr w:type="spellEnd"/>
      <w:r w:rsidRPr="009F047B">
        <w:rPr>
          <w:rFonts w:ascii="Verdana" w:hAnsi="Verdana"/>
          <w:iCs/>
          <w:sz w:val="18"/>
          <w:szCs w:val="18"/>
        </w:rPr>
        <w:t>). Dit beleid is nader uiteengezet in de Kamerbrief inzake EU-uitbreiding, waarborgen en de Toekomst van Europa</w:t>
      </w:r>
      <w:r w:rsidRPr="009F047B" w:rsidR="00BB1F83">
        <w:rPr>
          <w:rFonts w:ascii="Verdana" w:hAnsi="Verdana"/>
          <w:iCs/>
          <w:sz w:val="18"/>
          <w:szCs w:val="18"/>
        </w:rPr>
        <w:t>.</w:t>
      </w:r>
      <w:r w:rsidRPr="009F047B">
        <w:rPr>
          <w:rStyle w:val="Voetnootmarkering"/>
          <w:rFonts w:ascii="Verdana" w:hAnsi="Verdana"/>
          <w:iCs/>
          <w:sz w:val="18"/>
          <w:szCs w:val="18"/>
        </w:rPr>
        <w:footnoteReference w:id="3"/>
      </w:r>
      <w:r w:rsidRPr="009F047B">
        <w:rPr>
          <w:rFonts w:ascii="Verdana" w:hAnsi="Verdana"/>
          <w:iCs/>
          <w:sz w:val="18"/>
          <w:szCs w:val="18"/>
        </w:rPr>
        <w:t xml:space="preserve"> </w:t>
      </w:r>
      <w:r w:rsidRPr="009F047B" w:rsidR="0037673F">
        <w:rPr>
          <w:rFonts w:ascii="Verdana" w:hAnsi="Verdana"/>
          <w:iCs/>
          <w:sz w:val="18"/>
          <w:szCs w:val="18"/>
        </w:rPr>
        <w:t>Kandidaat-lidstaten, waaronder Montenegro, kunnen</w:t>
      </w:r>
      <w:r w:rsidRPr="009F047B" w:rsidR="009921CE">
        <w:rPr>
          <w:rFonts w:ascii="Verdana" w:hAnsi="Verdana"/>
          <w:iCs/>
          <w:sz w:val="18"/>
          <w:szCs w:val="18"/>
        </w:rPr>
        <w:t xml:space="preserve"> pas toetreden tot de EU wanneer </w:t>
      </w:r>
      <w:r w:rsidRPr="009F047B" w:rsidR="0037673F">
        <w:rPr>
          <w:rFonts w:ascii="Verdana" w:hAnsi="Verdana"/>
          <w:iCs/>
          <w:sz w:val="18"/>
          <w:szCs w:val="18"/>
        </w:rPr>
        <w:t>ze</w:t>
      </w:r>
      <w:r w:rsidRPr="009F047B" w:rsidR="009921CE">
        <w:rPr>
          <w:rFonts w:ascii="Verdana" w:hAnsi="Verdana"/>
          <w:iCs/>
          <w:sz w:val="18"/>
          <w:szCs w:val="18"/>
        </w:rPr>
        <w:t xml:space="preserve"> aan alle criteria voldoe</w:t>
      </w:r>
      <w:r w:rsidRPr="009F047B" w:rsidR="0037673F">
        <w:rPr>
          <w:rFonts w:ascii="Verdana" w:hAnsi="Verdana"/>
          <w:iCs/>
          <w:sz w:val="18"/>
          <w:szCs w:val="18"/>
        </w:rPr>
        <w:t>n</w:t>
      </w:r>
      <w:r w:rsidRPr="009F047B" w:rsidR="009921CE">
        <w:rPr>
          <w:rFonts w:ascii="Verdana" w:hAnsi="Verdana"/>
          <w:iCs/>
          <w:sz w:val="18"/>
          <w:szCs w:val="18"/>
        </w:rPr>
        <w:t xml:space="preserve">. De Kamerbrief </w:t>
      </w:r>
      <w:r w:rsidRPr="009F047B" w:rsidR="0037673F">
        <w:rPr>
          <w:rFonts w:ascii="Verdana" w:hAnsi="Verdana"/>
          <w:iCs/>
          <w:sz w:val="18"/>
          <w:szCs w:val="18"/>
        </w:rPr>
        <w:t>k</w:t>
      </w:r>
      <w:r w:rsidRPr="009F047B" w:rsidR="009921CE">
        <w:rPr>
          <w:rFonts w:ascii="Verdana" w:hAnsi="Verdana"/>
          <w:iCs/>
          <w:sz w:val="18"/>
          <w:szCs w:val="18"/>
        </w:rPr>
        <w:t xml:space="preserve">abinetsappreciatie uitbreidingspakket 2025 bevat een overzicht van ontwikkelingen in het toetredingsproces van Montenegro, waaronder </w:t>
      </w:r>
      <w:r w:rsidRPr="009F047B" w:rsidR="00B72AB7">
        <w:rPr>
          <w:rFonts w:ascii="Verdana" w:hAnsi="Verdana"/>
          <w:iCs/>
          <w:sz w:val="18"/>
          <w:szCs w:val="18"/>
        </w:rPr>
        <w:t xml:space="preserve">de </w:t>
      </w:r>
      <w:r w:rsidRPr="009F047B" w:rsidR="009921CE">
        <w:rPr>
          <w:rFonts w:ascii="Verdana" w:hAnsi="Verdana"/>
          <w:iCs/>
          <w:sz w:val="18"/>
          <w:szCs w:val="18"/>
        </w:rPr>
        <w:t>voortgang op hervormingen</w:t>
      </w:r>
      <w:r w:rsidRPr="009F047B" w:rsidR="00BB1F83">
        <w:rPr>
          <w:rFonts w:ascii="Verdana" w:hAnsi="Verdana"/>
          <w:iCs/>
          <w:sz w:val="18"/>
          <w:szCs w:val="18"/>
        </w:rPr>
        <w:t>.</w:t>
      </w:r>
      <w:r w:rsidRPr="009F047B" w:rsidR="007C5D02">
        <w:rPr>
          <w:rStyle w:val="Voetnootmarkering"/>
          <w:rFonts w:ascii="Verdana" w:hAnsi="Verdana"/>
          <w:iCs/>
          <w:sz w:val="18"/>
          <w:szCs w:val="18"/>
        </w:rPr>
        <w:footnoteReference w:id="4"/>
      </w:r>
      <w:r w:rsidRPr="009F047B">
        <w:rPr>
          <w:rFonts w:ascii="Verdana" w:hAnsi="Verdana"/>
          <w:iCs/>
          <w:sz w:val="18"/>
          <w:szCs w:val="18"/>
        </w:rPr>
        <w:t xml:space="preserve"> </w:t>
      </w:r>
      <w:r w:rsidRPr="009F047B" w:rsidR="00FB7BCA">
        <w:rPr>
          <w:rFonts w:ascii="Verdana" w:hAnsi="Verdana"/>
          <w:iCs/>
          <w:sz w:val="18"/>
          <w:szCs w:val="18"/>
        </w:rPr>
        <w:t>Het kabinet zet tijdens de MFK-onderhandelingen in op het beperken van de stijging van de EU-afdrachten en modernisering van het MFK, conform de geformuleerde inzet in de meest recente MFK-brief</w:t>
      </w:r>
      <w:r w:rsidRPr="009F047B" w:rsidR="00BB1F83">
        <w:rPr>
          <w:rFonts w:ascii="Verdana" w:hAnsi="Verdana"/>
          <w:iCs/>
          <w:sz w:val="18"/>
          <w:szCs w:val="18"/>
        </w:rPr>
        <w:t>.</w:t>
      </w:r>
      <w:r w:rsidRPr="009F047B" w:rsidR="00FB7BCA">
        <w:rPr>
          <w:rStyle w:val="Voetnootmarkering"/>
          <w:rFonts w:ascii="Verdana" w:hAnsi="Verdana"/>
          <w:iCs/>
          <w:sz w:val="18"/>
          <w:szCs w:val="18"/>
        </w:rPr>
        <w:footnoteReference w:id="5"/>
      </w:r>
      <w:r w:rsidRPr="009F047B" w:rsidR="00FB7BCA">
        <w:rPr>
          <w:rFonts w:ascii="Verdana" w:hAnsi="Verdana"/>
          <w:iCs/>
          <w:sz w:val="18"/>
          <w:szCs w:val="18"/>
        </w:rPr>
        <w:t xml:space="preserve"> </w:t>
      </w:r>
      <w:r w:rsidRPr="009F047B" w:rsidR="0065626E">
        <w:rPr>
          <w:rFonts w:ascii="Verdana" w:hAnsi="Verdana"/>
          <w:iCs/>
          <w:sz w:val="18"/>
          <w:szCs w:val="18"/>
        </w:rPr>
        <w:t xml:space="preserve">Het kabinet hecht er aan dat voorstellen over financiële en budgettaire bepalingen voor toetreding niet vooruitlopen op de uitkomsten van </w:t>
      </w:r>
      <w:r w:rsidRPr="009F047B" w:rsidR="006A2815">
        <w:rPr>
          <w:rFonts w:ascii="Verdana" w:hAnsi="Verdana"/>
          <w:iCs/>
          <w:sz w:val="18"/>
          <w:szCs w:val="18"/>
        </w:rPr>
        <w:t>de MFK-</w:t>
      </w:r>
      <w:r w:rsidRPr="009F047B" w:rsidR="0065626E">
        <w:rPr>
          <w:rFonts w:ascii="Verdana" w:hAnsi="Verdana"/>
          <w:iCs/>
          <w:sz w:val="18"/>
          <w:szCs w:val="18"/>
        </w:rPr>
        <w:t>onderhandelingen.</w:t>
      </w:r>
      <w:r w:rsidRPr="009F047B" w:rsidR="0037673F">
        <w:rPr>
          <w:rFonts w:ascii="Verdana" w:hAnsi="Verdana"/>
          <w:iCs/>
          <w:sz w:val="18"/>
          <w:szCs w:val="18"/>
        </w:rPr>
        <w:br/>
      </w:r>
    </w:p>
    <w:p w:rsidRPr="009F047B" w:rsidR="00B63EB4" w:rsidP="00FD0CBD" w:rsidRDefault="00FD0CBD" w14:paraId="547A2A65" w14:textId="77777777">
      <w:pPr>
        <w:numPr>
          <w:ilvl w:val="0"/>
          <w:numId w:val="21"/>
        </w:numPr>
        <w:spacing w:line="360" w:lineRule="auto"/>
        <w:rPr>
          <w:rFonts w:ascii="Verdana" w:hAnsi="Verdana"/>
          <w:i/>
          <w:sz w:val="18"/>
          <w:szCs w:val="18"/>
        </w:rPr>
      </w:pPr>
      <w:r w:rsidRPr="009F047B">
        <w:rPr>
          <w:rFonts w:ascii="Verdana" w:hAnsi="Verdana"/>
          <w:i/>
          <w:sz w:val="18"/>
          <w:szCs w:val="18"/>
        </w:rPr>
        <w:t>Beoordeling + inzet ten aanzien van dit voorstel</w:t>
      </w:r>
    </w:p>
    <w:p w:rsidR="00F96DA3" w:rsidP="00B7440F" w:rsidRDefault="0065626E" w14:paraId="12A783B8" w14:textId="77777777">
      <w:pPr>
        <w:spacing w:line="360" w:lineRule="auto"/>
        <w:rPr>
          <w:rFonts w:ascii="Verdana" w:hAnsi="Verdana"/>
          <w:iCs/>
          <w:sz w:val="18"/>
          <w:szCs w:val="18"/>
        </w:rPr>
      </w:pPr>
      <w:r w:rsidRPr="009F047B">
        <w:rPr>
          <w:rFonts w:ascii="Verdana" w:hAnsi="Verdana"/>
          <w:iCs/>
          <w:sz w:val="18"/>
          <w:szCs w:val="18"/>
        </w:rPr>
        <w:t xml:space="preserve">Het </w:t>
      </w:r>
      <w:r w:rsidRPr="009F047B" w:rsidR="0056434C">
        <w:rPr>
          <w:rFonts w:ascii="Verdana" w:hAnsi="Verdana"/>
          <w:iCs/>
          <w:sz w:val="18"/>
          <w:szCs w:val="18"/>
        </w:rPr>
        <w:t>is</w:t>
      </w:r>
      <w:r w:rsidRPr="009F047B">
        <w:rPr>
          <w:rFonts w:ascii="Verdana" w:hAnsi="Verdana"/>
          <w:iCs/>
          <w:sz w:val="18"/>
          <w:szCs w:val="18"/>
        </w:rPr>
        <w:t xml:space="preserve"> volgens het kabinet </w:t>
      </w:r>
      <w:r w:rsidRPr="009F047B" w:rsidR="00811FF3">
        <w:rPr>
          <w:rFonts w:ascii="Verdana" w:hAnsi="Verdana"/>
          <w:iCs/>
          <w:sz w:val="18"/>
          <w:szCs w:val="18"/>
        </w:rPr>
        <w:t>begrijpelijk</w:t>
      </w:r>
      <w:r w:rsidRPr="009F047B">
        <w:rPr>
          <w:rFonts w:ascii="Verdana" w:hAnsi="Verdana"/>
          <w:iCs/>
          <w:sz w:val="18"/>
          <w:szCs w:val="18"/>
        </w:rPr>
        <w:t xml:space="preserve"> dat de Commissie </w:t>
      </w:r>
      <w:r w:rsidRPr="009F047B" w:rsidR="00FC14CB">
        <w:rPr>
          <w:rFonts w:ascii="Verdana" w:hAnsi="Verdana"/>
          <w:iCs/>
          <w:sz w:val="18"/>
          <w:szCs w:val="18"/>
        </w:rPr>
        <w:t xml:space="preserve">op dit moment </w:t>
      </w:r>
      <w:r w:rsidRPr="009F047B" w:rsidR="0056434C">
        <w:rPr>
          <w:rFonts w:ascii="Verdana" w:hAnsi="Verdana"/>
          <w:iCs/>
          <w:sz w:val="18"/>
          <w:szCs w:val="18"/>
        </w:rPr>
        <w:t xml:space="preserve">in de toetredingsonderhandelingen van Montenegro </w:t>
      </w:r>
      <w:r w:rsidRPr="009F047B">
        <w:rPr>
          <w:rFonts w:ascii="Verdana" w:hAnsi="Verdana"/>
          <w:iCs/>
          <w:sz w:val="18"/>
          <w:szCs w:val="18"/>
        </w:rPr>
        <w:t xml:space="preserve">een eerste schets geeft </w:t>
      </w:r>
      <w:r w:rsidRPr="009F047B" w:rsidR="00725E8B">
        <w:rPr>
          <w:rFonts w:ascii="Verdana" w:hAnsi="Verdana"/>
          <w:iCs/>
          <w:sz w:val="18"/>
          <w:szCs w:val="18"/>
        </w:rPr>
        <w:t xml:space="preserve">van de financiële en budgettaire aspecten voor toekomstige </w:t>
      </w:r>
      <w:r w:rsidRPr="009F047B" w:rsidR="00B76437">
        <w:rPr>
          <w:rFonts w:ascii="Verdana" w:hAnsi="Verdana"/>
          <w:iCs/>
          <w:sz w:val="18"/>
          <w:szCs w:val="18"/>
        </w:rPr>
        <w:t>EU-</w:t>
      </w:r>
      <w:r w:rsidRPr="009F047B" w:rsidR="00725E8B">
        <w:rPr>
          <w:rFonts w:ascii="Verdana" w:hAnsi="Verdana"/>
          <w:iCs/>
          <w:sz w:val="18"/>
          <w:szCs w:val="18"/>
        </w:rPr>
        <w:t>toetreding.</w:t>
      </w:r>
      <w:r w:rsidRPr="009F047B" w:rsidR="006A2815">
        <w:rPr>
          <w:rFonts w:ascii="Verdana" w:hAnsi="Verdana"/>
          <w:iCs/>
          <w:sz w:val="18"/>
          <w:szCs w:val="18"/>
        </w:rPr>
        <w:t xml:space="preserve"> </w:t>
      </w:r>
      <w:r w:rsidRPr="009F047B" w:rsidR="00B76437">
        <w:rPr>
          <w:rFonts w:ascii="Verdana" w:hAnsi="Verdana"/>
          <w:iCs/>
          <w:sz w:val="18"/>
          <w:szCs w:val="18"/>
        </w:rPr>
        <w:t>De t</w:t>
      </w:r>
      <w:r w:rsidRPr="009F047B" w:rsidR="00B7440F">
        <w:rPr>
          <w:rFonts w:ascii="Verdana" w:hAnsi="Verdana"/>
          <w:iCs/>
          <w:sz w:val="18"/>
          <w:szCs w:val="18"/>
        </w:rPr>
        <w:t xml:space="preserve">oetredingsonderhandelingen met Montenegro zijn immers </w:t>
      </w:r>
      <w:r w:rsidRPr="009F047B" w:rsidR="00B76437">
        <w:rPr>
          <w:rFonts w:ascii="Verdana" w:hAnsi="Verdana"/>
          <w:iCs/>
          <w:sz w:val="18"/>
          <w:szCs w:val="18"/>
        </w:rPr>
        <w:t xml:space="preserve">relatief </w:t>
      </w:r>
      <w:r w:rsidRPr="009F047B" w:rsidR="00B7440F">
        <w:rPr>
          <w:rFonts w:ascii="Verdana" w:hAnsi="Verdana"/>
          <w:iCs/>
          <w:sz w:val="18"/>
          <w:szCs w:val="18"/>
        </w:rPr>
        <w:t xml:space="preserve">gevorderd met 18 hoofdstukken die onder voorbehoud gesloten zijn, en </w:t>
      </w:r>
      <w:r w:rsidRPr="009F047B" w:rsidR="00B76437">
        <w:rPr>
          <w:rFonts w:ascii="Verdana" w:hAnsi="Verdana"/>
          <w:iCs/>
          <w:sz w:val="18"/>
          <w:szCs w:val="18"/>
        </w:rPr>
        <w:t xml:space="preserve">de </w:t>
      </w:r>
      <w:r w:rsidRPr="009F047B" w:rsidR="00CD0C63">
        <w:rPr>
          <w:rFonts w:ascii="Verdana" w:hAnsi="Verdana"/>
          <w:iCs/>
          <w:sz w:val="18"/>
          <w:szCs w:val="18"/>
        </w:rPr>
        <w:t>start</w:t>
      </w:r>
      <w:r w:rsidRPr="009F047B" w:rsidR="00B76437">
        <w:rPr>
          <w:rFonts w:ascii="Verdana" w:hAnsi="Verdana"/>
          <w:iCs/>
          <w:sz w:val="18"/>
          <w:szCs w:val="18"/>
        </w:rPr>
        <w:t xml:space="preserve"> mei jl. van</w:t>
      </w:r>
      <w:r w:rsidRPr="009F047B" w:rsidR="00B7440F">
        <w:rPr>
          <w:rFonts w:ascii="Verdana" w:hAnsi="Verdana"/>
          <w:iCs/>
          <w:sz w:val="18"/>
          <w:szCs w:val="18"/>
        </w:rPr>
        <w:t xml:space="preserve"> een ad hoc werkgroep in Brussel die het toetredingsverdrag opstelt. </w:t>
      </w:r>
      <w:r w:rsidRPr="009F047B" w:rsidR="008F1D50">
        <w:rPr>
          <w:rFonts w:ascii="Verdana" w:hAnsi="Verdana"/>
          <w:iCs/>
          <w:sz w:val="18"/>
          <w:szCs w:val="18"/>
        </w:rPr>
        <w:t xml:space="preserve">De </w:t>
      </w:r>
      <w:r w:rsidRPr="009F047B" w:rsidR="003C40B5">
        <w:rPr>
          <w:rFonts w:ascii="Verdana" w:hAnsi="Verdana"/>
          <w:iCs/>
          <w:sz w:val="18"/>
          <w:szCs w:val="18"/>
        </w:rPr>
        <w:t>onderhandelingen</w:t>
      </w:r>
      <w:r w:rsidRPr="009F047B" w:rsidR="008F1D50">
        <w:rPr>
          <w:rFonts w:ascii="Verdana" w:hAnsi="Verdana"/>
          <w:iCs/>
          <w:sz w:val="18"/>
          <w:szCs w:val="18"/>
        </w:rPr>
        <w:t xml:space="preserve"> over het MFK</w:t>
      </w:r>
      <w:r w:rsidRPr="009F047B" w:rsidR="00E722F9">
        <w:rPr>
          <w:rFonts w:ascii="Verdana" w:hAnsi="Verdana"/>
          <w:iCs/>
          <w:sz w:val="18"/>
          <w:szCs w:val="18"/>
        </w:rPr>
        <w:t xml:space="preserve"> </w:t>
      </w:r>
      <w:r w:rsidRPr="009F047B" w:rsidR="008F1D50">
        <w:rPr>
          <w:rFonts w:ascii="Verdana" w:hAnsi="Verdana"/>
          <w:iCs/>
          <w:sz w:val="18"/>
          <w:szCs w:val="18"/>
        </w:rPr>
        <w:t>2028-2034</w:t>
      </w:r>
      <w:r w:rsidRPr="009F047B" w:rsidR="003C40B5">
        <w:rPr>
          <w:rFonts w:ascii="Verdana" w:hAnsi="Verdana"/>
          <w:iCs/>
          <w:sz w:val="18"/>
          <w:szCs w:val="18"/>
        </w:rPr>
        <w:t xml:space="preserve"> </w:t>
      </w:r>
      <w:r w:rsidRPr="009F047B" w:rsidR="006B34AE">
        <w:rPr>
          <w:rFonts w:ascii="Verdana" w:hAnsi="Verdana"/>
          <w:iCs/>
          <w:sz w:val="18"/>
          <w:szCs w:val="18"/>
        </w:rPr>
        <w:t xml:space="preserve">lopen </w:t>
      </w:r>
      <w:r w:rsidRPr="009F047B" w:rsidR="00725E8B">
        <w:rPr>
          <w:rFonts w:ascii="Verdana" w:hAnsi="Verdana"/>
          <w:iCs/>
          <w:sz w:val="18"/>
          <w:szCs w:val="18"/>
        </w:rPr>
        <w:t xml:space="preserve">echter </w:t>
      </w:r>
      <w:r w:rsidRPr="009F047B" w:rsidR="006B34AE">
        <w:rPr>
          <w:rFonts w:ascii="Verdana" w:hAnsi="Verdana"/>
          <w:iCs/>
          <w:sz w:val="18"/>
          <w:szCs w:val="18"/>
        </w:rPr>
        <w:t>nog</w:t>
      </w:r>
      <w:r w:rsidRPr="009F047B" w:rsidR="00AB1DBE">
        <w:rPr>
          <w:rFonts w:ascii="Verdana" w:hAnsi="Verdana"/>
          <w:iCs/>
          <w:sz w:val="18"/>
          <w:szCs w:val="18"/>
        </w:rPr>
        <w:t xml:space="preserve"> en het is voor het kabinet van belang dat </w:t>
      </w:r>
      <w:r w:rsidRPr="009F047B" w:rsidR="002E6D66">
        <w:rPr>
          <w:rFonts w:ascii="Verdana" w:hAnsi="Verdana"/>
          <w:iCs/>
          <w:sz w:val="18"/>
          <w:szCs w:val="18"/>
        </w:rPr>
        <w:t xml:space="preserve">met de discussie over dit financiële pakket </w:t>
      </w:r>
      <w:r w:rsidRPr="009F047B" w:rsidR="00AB1DBE">
        <w:rPr>
          <w:rFonts w:ascii="Verdana" w:hAnsi="Verdana"/>
          <w:iCs/>
          <w:sz w:val="18"/>
          <w:szCs w:val="18"/>
        </w:rPr>
        <w:t xml:space="preserve">niet vooruitgelopen wordt op de uitkomst </w:t>
      </w:r>
      <w:r w:rsidRPr="009F047B" w:rsidR="00B917E8">
        <w:rPr>
          <w:rFonts w:ascii="Verdana" w:hAnsi="Verdana"/>
          <w:iCs/>
          <w:sz w:val="18"/>
          <w:szCs w:val="18"/>
        </w:rPr>
        <w:t>van</w:t>
      </w:r>
      <w:r w:rsidRPr="009F047B" w:rsidR="002E6D66">
        <w:rPr>
          <w:rFonts w:ascii="Verdana" w:hAnsi="Verdana"/>
          <w:iCs/>
          <w:sz w:val="18"/>
          <w:szCs w:val="18"/>
        </w:rPr>
        <w:t xml:space="preserve"> de MFK-onderhandelingen</w:t>
      </w:r>
      <w:r w:rsidRPr="009F047B" w:rsidR="00725E8B">
        <w:rPr>
          <w:rFonts w:ascii="Verdana" w:hAnsi="Verdana"/>
          <w:iCs/>
          <w:sz w:val="18"/>
          <w:szCs w:val="18"/>
        </w:rPr>
        <w:t>.</w:t>
      </w:r>
      <w:r w:rsidRPr="009F047B" w:rsidR="003C40B5">
        <w:rPr>
          <w:rFonts w:ascii="Verdana" w:hAnsi="Verdana"/>
          <w:iCs/>
          <w:sz w:val="18"/>
          <w:szCs w:val="18"/>
        </w:rPr>
        <w:t xml:space="preserve"> </w:t>
      </w:r>
      <w:r w:rsidRPr="009F047B" w:rsidR="00B7440F">
        <w:rPr>
          <w:rFonts w:ascii="Verdana" w:hAnsi="Verdana"/>
          <w:iCs/>
          <w:sz w:val="18"/>
          <w:szCs w:val="18"/>
        </w:rPr>
        <w:t xml:space="preserve">Verder geldt dat voor voortgang in het toetredingsproces </w:t>
      </w:r>
      <w:r w:rsidRPr="009F047B" w:rsidR="00BF3D21">
        <w:rPr>
          <w:rFonts w:ascii="Verdana" w:hAnsi="Verdana"/>
          <w:iCs/>
          <w:sz w:val="18"/>
          <w:szCs w:val="18"/>
        </w:rPr>
        <w:t xml:space="preserve">leidend blijft dat </w:t>
      </w:r>
      <w:r w:rsidRPr="009F047B" w:rsidR="00B7440F">
        <w:rPr>
          <w:rFonts w:ascii="Verdana" w:hAnsi="Verdana"/>
          <w:iCs/>
          <w:sz w:val="18"/>
          <w:szCs w:val="18"/>
        </w:rPr>
        <w:t xml:space="preserve">Montenegro </w:t>
      </w:r>
      <w:r w:rsidRPr="009F047B" w:rsidR="00BF3D21">
        <w:rPr>
          <w:rFonts w:ascii="Verdana" w:hAnsi="Verdana"/>
          <w:iCs/>
          <w:sz w:val="18"/>
          <w:szCs w:val="18"/>
        </w:rPr>
        <w:t xml:space="preserve">moet voldoen </w:t>
      </w:r>
      <w:r w:rsidRPr="009F047B" w:rsidR="00B7440F">
        <w:rPr>
          <w:rFonts w:ascii="Verdana" w:hAnsi="Verdana"/>
          <w:iCs/>
          <w:sz w:val="18"/>
          <w:szCs w:val="18"/>
        </w:rPr>
        <w:t xml:space="preserve">aan </w:t>
      </w:r>
      <w:r w:rsidRPr="009F047B" w:rsidR="00BF3D21">
        <w:rPr>
          <w:rFonts w:ascii="Verdana" w:hAnsi="Verdana"/>
          <w:iCs/>
          <w:sz w:val="18"/>
          <w:szCs w:val="18"/>
        </w:rPr>
        <w:t>alle toetredings</w:t>
      </w:r>
      <w:r w:rsidRPr="009F047B" w:rsidR="00B7440F">
        <w:rPr>
          <w:rFonts w:ascii="Verdana" w:hAnsi="Verdana"/>
          <w:iCs/>
          <w:sz w:val="18"/>
          <w:szCs w:val="18"/>
        </w:rPr>
        <w:t>criteria. Het voorstel voor een financieel pakket is daarop niet van invloed.</w:t>
      </w:r>
      <w:r w:rsidRPr="009F047B" w:rsidR="00AB1DBE">
        <w:rPr>
          <w:rFonts w:ascii="Verdana" w:hAnsi="Verdana"/>
          <w:iCs/>
          <w:sz w:val="18"/>
          <w:szCs w:val="18"/>
        </w:rPr>
        <w:br/>
      </w:r>
      <w:r w:rsidRPr="009F047B" w:rsidR="00AB1DBE">
        <w:rPr>
          <w:rFonts w:ascii="Verdana" w:hAnsi="Verdana"/>
          <w:iCs/>
          <w:sz w:val="18"/>
          <w:szCs w:val="18"/>
        </w:rPr>
        <w:br/>
        <w:t xml:space="preserve">Het kabinet kan zich vinden in het voorstel van de Commissie om na toetreding het voor Montenegro beschikbare bedrag onder het NRP-plan deels te bekostigen uit beschikbaar gestelde steun vanuit GE. </w:t>
      </w:r>
      <w:r w:rsidRPr="009F047B" w:rsidR="00B7440F">
        <w:rPr>
          <w:rFonts w:ascii="Verdana" w:hAnsi="Verdana"/>
          <w:iCs/>
          <w:sz w:val="18"/>
          <w:szCs w:val="18"/>
        </w:rPr>
        <w:t xml:space="preserve">Het kabinet kan zich tevens vinden in het voorstel om </w:t>
      </w:r>
      <w:proofErr w:type="spellStart"/>
      <w:r w:rsidRPr="009F047B" w:rsidR="00B7440F">
        <w:rPr>
          <w:rFonts w:ascii="Verdana" w:hAnsi="Verdana"/>
          <w:iCs/>
          <w:sz w:val="18"/>
          <w:szCs w:val="18"/>
        </w:rPr>
        <w:t>infasering</w:t>
      </w:r>
      <w:proofErr w:type="spellEnd"/>
      <w:r w:rsidRPr="009F047B" w:rsidR="00B7440F">
        <w:rPr>
          <w:rFonts w:ascii="Verdana" w:hAnsi="Verdana"/>
          <w:iCs/>
          <w:sz w:val="18"/>
          <w:szCs w:val="18"/>
        </w:rPr>
        <w:t xml:space="preserve"> van Montenegro in het GLB over een periode van 10 jaar plaats te laten vinden. Het kabinet hecht er wel aan </w:t>
      </w:r>
      <w:r w:rsidRPr="009F047B" w:rsidR="000434C0">
        <w:rPr>
          <w:rFonts w:ascii="Verdana" w:hAnsi="Verdana"/>
          <w:iCs/>
          <w:sz w:val="18"/>
          <w:szCs w:val="18"/>
        </w:rPr>
        <w:t xml:space="preserve">te benadrukken </w:t>
      </w:r>
      <w:r w:rsidRPr="009F047B" w:rsidR="00B7440F">
        <w:rPr>
          <w:rFonts w:ascii="Verdana" w:hAnsi="Verdana"/>
          <w:iCs/>
          <w:sz w:val="18"/>
          <w:szCs w:val="18"/>
        </w:rPr>
        <w:t xml:space="preserve">dat bij toekomstige toetreding </w:t>
      </w:r>
      <w:r w:rsidRPr="009F047B" w:rsidR="00663978">
        <w:rPr>
          <w:rFonts w:ascii="Verdana" w:hAnsi="Verdana"/>
          <w:iCs/>
          <w:sz w:val="18"/>
          <w:szCs w:val="18"/>
        </w:rPr>
        <w:t xml:space="preserve">van andere kandidaat-lidstaten </w:t>
      </w:r>
      <w:r w:rsidRPr="009F047B" w:rsidR="00B7440F">
        <w:rPr>
          <w:rFonts w:ascii="Verdana" w:hAnsi="Verdana"/>
          <w:iCs/>
          <w:sz w:val="18"/>
          <w:szCs w:val="18"/>
        </w:rPr>
        <w:t xml:space="preserve">een langere of andersoortige </w:t>
      </w:r>
      <w:proofErr w:type="spellStart"/>
      <w:r w:rsidRPr="009F047B" w:rsidR="00B7440F">
        <w:rPr>
          <w:rFonts w:ascii="Verdana" w:hAnsi="Verdana"/>
          <w:iCs/>
          <w:sz w:val="18"/>
          <w:szCs w:val="18"/>
        </w:rPr>
        <w:t>infasering</w:t>
      </w:r>
      <w:proofErr w:type="spellEnd"/>
      <w:r w:rsidRPr="009F047B" w:rsidR="00B7440F">
        <w:rPr>
          <w:rFonts w:ascii="Verdana" w:hAnsi="Verdana"/>
          <w:iCs/>
          <w:sz w:val="18"/>
          <w:szCs w:val="18"/>
        </w:rPr>
        <w:t xml:space="preserve"> mogelijk moet zijn, afhankelijk van de omstandigheden van de kandidaat-lidstaat in kwestie. Verder staat het</w:t>
      </w:r>
      <w:r w:rsidRPr="009F047B" w:rsidR="00B917E8">
        <w:rPr>
          <w:rFonts w:ascii="Verdana" w:hAnsi="Verdana"/>
          <w:iCs/>
          <w:sz w:val="18"/>
          <w:szCs w:val="18"/>
        </w:rPr>
        <w:t xml:space="preserve"> kabinet </w:t>
      </w:r>
      <w:r w:rsidRPr="009F047B" w:rsidR="00B7440F">
        <w:rPr>
          <w:rFonts w:ascii="Verdana" w:hAnsi="Verdana"/>
          <w:iCs/>
          <w:sz w:val="18"/>
          <w:szCs w:val="18"/>
        </w:rPr>
        <w:t xml:space="preserve">positief tegenover </w:t>
      </w:r>
      <w:r w:rsidRPr="009F047B" w:rsidR="00B917E8">
        <w:rPr>
          <w:rFonts w:ascii="Verdana" w:hAnsi="Verdana"/>
          <w:iCs/>
          <w:sz w:val="18"/>
          <w:szCs w:val="18"/>
        </w:rPr>
        <w:t>het voorstel om</w:t>
      </w:r>
      <w:r w:rsidRPr="009F047B" w:rsidR="00B7440F">
        <w:rPr>
          <w:rFonts w:ascii="Verdana" w:hAnsi="Verdana"/>
          <w:iCs/>
          <w:sz w:val="18"/>
          <w:szCs w:val="18"/>
        </w:rPr>
        <w:t xml:space="preserve"> HOME-fondsen</w:t>
      </w:r>
      <w:r w:rsidRPr="009F047B" w:rsidR="009B6DF2">
        <w:rPr>
          <w:rFonts w:ascii="Verdana" w:hAnsi="Verdana"/>
          <w:iCs/>
          <w:sz w:val="18"/>
          <w:szCs w:val="18"/>
        </w:rPr>
        <w:t xml:space="preserve"> vanaf het moment van toetreding</w:t>
      </w:r>
      <w:r w:rsidRPr="009F047B" w:rsidR="00B7440F">
        <w:rPr>
          <w:rFonts w:ascii="Verdana" w:hAnsi="Verdana"/>
          <w:iCs/>
          <w:sz w:val="18"/>
          <w:szCs w:val="18"/>
        </w:rPr>
        <w:t xml:space="preserve"> meteen ter beschikking te stellen aan M</w:t>
      </w:r>
      <w:r w:rsidRPr="009F047B" w:rsidR="009B6DF2">
        <w:rPr>
          <w:rFonts w:ascii="Verdana" w:hAnsi="Verdana"/>
          <w:iCs/>
          <w:sz w:val="18"/>
          <w:szCs w:val="18"/>
        </w:rPr>
        <w:t>ontenegro</w:t>
      </w:r>
    </w:p>
    <w:p w:rsidRPr="009F047B" w:rsidR="003C40B5" w:rsidP="00B7440F" w:rsidRDefault="00B7440F" w14:paraId="30FC7CF1" w14:textId="3F74DE5E">
      <w:pPr>
        <w:spacing w:line="360" w:lineRule="auto"/>
        <w:rPr>
          <w:rFonts w:ascii="Verdana" w:hAnsi="Verdana"/>
          <w:iCs/>
          <w:sz w:val="18"/>
          <w:szCs w:val="18"/>
        </w:rPr>
      </w:pPr>
      <w:r w:rsidRPr="009F047B">
        <w:rPr>
          <w:rFonts w:ascii="Verdana" w:hAnsi="Verdana"/>
          <w:iCs/>
          <w:sz w:val="18"/>
          <w:szCs w:val="18"/>
        </w:rPr>
        <w:lastRenderedPageBreak/>
        <w:t>gezien het belang van effectief grensbeheer en de interne veiligheid van de EU</w:t>
      </w:r>
      <w:r w:rsidRPr="009F047B" w:rsidR="001A0478">
        <w:rPr>
          <w:rFonts w:ascii="Verdana" w:hAnsi="Verdana"/>
          <w:iCs/>
          <w:sz w:val="18"/>
          <w:szCs w:val="18"/>
        </w:rPr>
        <w:t>, waarbij evenwel de absorptiecapaciteit van Montenegro in acht wordt genomen</w:t>
      </w:r>
      <w:r w:rsidRPr="009F047B">
        <w:rPr>
          <w:rFonts w:ascii="Verdana" w:hAnsi="Verdana"/>
          <w:iCs/>
          <w:sz w:val="18"/>
          <w:szCs w:val="18"/>
        </w:rPr>
        <w:t xml:space="preserve">. </w:t>
      </w:r>
      <w:r w:rsidRPr="009F047B">
        <w:rPr>
          <w:rFonts w:ascii="Verdana" w:hAnsi="Verdana"/>
          <w:iCs/>
          <w:sz w:val="18"/>
          <w:szCs w:val="18"/>
        </w:rPr>
        <w:br/>
      </w:r>
      <w:r w:rsidRPr="009F047B" w:rsidR="00B917E8">
        <w:rPr>
          <w:rFonts w:ascii="Verdana" w:hAnsi="Verdana"/>
          <w:iCs/>
          <w:sz w:val="18"/>
          <w:szCs w:val="18"/>
        </w:rPr>
        <w:br/>
        <w:t xml:space="preserve">Er zijn enkele voorstellen in de mededeling waar het kabinet kritisch over is. Dat is het geval voor de voorgestelde ophoging van </w:t>
      </w:r>
      <w:r w:rsidRPr="009F047B" w:rsidR="00E05939">
        <w:rPr>
          <w:rFonts w:ascii="Verdana" w:hAnsi="Verdana"/>
          <w:iCs/>
          <w:sz w:val="18"/>
          <w:szCs w:val="18"/>
        </w:rPr>
        <w:t xml:space="preserve">pijler </w:t>
      </w:r>
      <w:r w:rsidRPr="009F047B" w:rsidR="00B917E8">
        <w:rPr>
          <w:rFonts w:ascii="Verdana" w:hAnsi="Verdana"/>
          <w:iCs/>
          <w:sz w:val="18"/>
          <w:szCs w:val="18"/>
        </w:rPr>
        <w:t>3 (</w:t>
      </w:r>
      <w:r w:rsidRPr="009F047B" w:rsidR="00B917E8">
        <w:rPr>
          <w:rFonts w:ascii="Verdana" w:hAnsi="Verdana"/>
          <w:i/>
          <w:sz w:val="18"/>
          <w:szCs w:val="18"/>
        </w:rPr>
        <w:t>Global Europe</w:t>
      </w:r>
      <w:r w:rsidRPr="009F047B" w:rsidR="00B917E8">
        <w:rPr>
          <w:rFonts w:ascii="Verdana" w:hAnsi="Verdana"/>
          <w:iCs/>
          <w:sz w:val="18"/>
          <w:szCs w:val="18"/>
        </w:rPr>
        <w:t>). Dit leidt tot hogere uitgaven die volgens het kabinet niet</w:t>
      </w:r>
      <w:r w:rsidRPr="009F047B" w:rsidR="0052704B">
        <w:rPr>
          <w:rFonts w:ascii="Verdana" w:hAnsi="Verdana"/>
          <w:iCs/>
          <w:sz w:val="18"/>
          <w:szCs w:val="18"/>
        </w:rPr>
        <w:t xml:space="preserve"> </w:t>
      </w:r>
      <w:r w:rsidRPr="009F047B" w:rsidR="00B917E8">
        <w:rPr>
          <w:rFonts w:ascii="Verdana" w:hAnsi="Verdana"/>
          <w:iCs/>
          <w:sz w:val="18"/>
          <w:szCs w:val="18"/>
        </w:rPr>
        <w:t xml:space="preserve">noodzakelijk zijn </w:t>
      </w:r>
      <w:r w:rsidRPr="009F047B" w:rsidR="0052704B">
        <w:rPr>
          <w:rFonts w:ascii="Verdana" w:hAnsi="Verdana"/>
          <w:iCs/>
          <w:sz w:val="18"/>
          <w:szCs w:val="18"/>
        </w:rPr>
        <w:t>en niet specifiek afhankelijk</w:t>
      </w:r>
      <w:r w:rsidRPr="009F047B" w:rsidR="000D3FDD">
        <w:rPr>
          <w:rFonts w:ascii="Verdana" w:hAnsi="Verdana"/>
          <w:iCs/>
          <w:sz w:val="18"/>
          <w:szCs w:val="18"/>
        </w:rPr>
        <w:t xml:space="preserve"> zijn</w:t>
      </w:r>
      <w:r w:rsidRPr="009F047B" w:rsidR="0052704B">
        <w:rPr>
          <w:rFonts w:ascii="Verdana" w:hAnsi="Verdana"/>
          <w:iCs/>
          <w:sz w:val="18"/>
          <w:szCs w:val="18"/>
        </w:rPr>
        <w:t xml:space="preserve"> van de </w:t>
      </w:r>
      <w:r w:rsidRPr="009F047B" w:rsidR="008F1D50">
        <w:rPr>
          <w:rFonts w:ascii="Verdana" w:hAnsi="Verdana"/>
          <w:iCs/>
          <w:sz w:val="18"/>
          <w:szCs w:val="18"/>
        </w:rPr>
        <w:t>toetreding van</w:t>
      </w:r>
      <w:r w:rsidRPr="009F047B" w:rsidR="00B917E8">
        <w:rPr>
          <w:rFonts w:ascii="Verdana" w:hAnsi="Verdana"/>
          <w:iCs/>
          <w:sz w:val="18"/>
          <w:szCs w:val="18"/>
        </w:rPr>
        <w:t xml:space="preserve"> Montenegro. Het is volgens het kabinet niet nodig om een groter budget voor extern optreden te realiseren in geval van uitbreiding</w:t>
      </w:r>
      <w:r w:rsidRPr="009F047B" w:rsidR="00676C19">
        <w:rPr>
          <w:rFonts w:ascii="Verdana" w:hAnsi="Verdana"/>
          <w:iCs/>
          <w:sz w:val="18"/>
          <w:szCs w:val="18"/>
        </w:rPr>
        <w:t xml:space="preserve"> van de EU met Montenegro</w:t>
      </w:r>
      <w:r w:rsidRPr="009F047B" w:rsidR="00B917E8">
        <w:rPr>
          <w:rFonts w:ascii="Verdana" w:hAnsi="Verdana"/>
          <w:iCs/>
          <w:sz w:val="18"/>
          <w:szCs w:val="18"/>
        </w:rPr>
        <w:t xml:space="preserve">. Verder </w:t>
      </w:r>
      <w:r w:rsidRPr="009F047B" w:rsidR="00676C19">
        <w:rPr>
          <w:rFonts w:ascii="Verdana" w:hAnsi="Verdana"/>
          <w:iCs/>
          <w:sz w:val="18"/>
          <w:szCs w:val="18"/>
        </w:rPr>
        <w:t>ziet het kabinet onvoldoende onderbouwing voor de voorgestelde</w:t>
      </w:r>
      <w:r w:rsidRPr="009F047B" w:rsidR="00B917E8">
        <w:rPr>
          <w:rFonts w:ascii="Verdana" w:hAnsi="Verdana"/>
          <w:iCs/>
          <w:sz w:val="18"/>
          <w:szCs w:val="18"/>
        </w:rPr>
        <w:t xml:space="preserve"> stijging van de middelen voor administratie </w:t>
      </w:r>
      <w:r w:rsidRPr="009F047B" w:rsidR="00676C19">
        <w:rPr>
          <w:rFonts w:ascii="Verdana" w:hAnsi="Verdana"/>
          <w:iCs/>
          <w:sz w:val="18"/>
          <w:szCs w:val="18"/>
        </w:rPr>
        <w:t xml:space="preserve">(pijler 4) en zet het kabinet in op een stijging </w:t>
      </w:r>
      <w:r w:rsidRPr="009F047B" w:rsidR="00B917E8">
        <w:rPr>
          <w:rFonts w:ascii="Verdana" w:hAnsi="Verdana"/>
          <w:iCs/>
          <w:sz w:val="18"/>
          <w:szCs w:val="18"/>
        </w:rPr>
        <w:t>die in verhouding staa</w:t>
      </w:r>
      <w:r w:rsidRPr="009F047B" w:rsidR="00676C19">
        <w:rPr>
          <w:rFonts w:ascii="Verdana" w:hAnsi="Verdana"/>
          <w:iCs/>
          <w:sz w:val="18"/>
          <w:szCs w:val="18"/>
        </w:rPr>
        <w:t>t</w:t>
      </w:r>
      <w:r w:rsidRPr="009F047B" w:rsidR="00B917E8">
        <w:rPr>
          <w:rFonts w:ascii="Verdana" w:hAnsi="Verdana"/>
          <w:iCs/>
          <w:sz w:val="18"/>
          <w:szCs w:val="18"/>
        </w:rPr>
        <w:t xml:space="preserve"> tot de </w:t>
      </w:r>
      <w:r w:rsidRPr="009F047B" w:rsidR="00676C19">
        <w:rPr>
          <w:rFonts w:ascii="Verdana" w:hAnsi="Verdana"/>
          <w:iCs/>
          <w:sz w:val="18"/>
          <w:szCs w:val="18"/>
        </w:rPr>
        <w:t xml:space="preserve">administratieve impact van </w:t>
      </w:r>
      <w:r w:rsidRPr="009F047B">
        <w:rPr>
          <w:rFonts w:ascii="Verdana" w:hAnsi="Verdana"/>
          <w:iCs/>
          <w:sz w:val="18"/>
          <w:szCs w:val="18"/>
        </w:rPr>
        <w:t xml:space="preserve">uitbreiding met Montenegro. </w:t>
      </w:r>
    </w:p>
    <w:p w:rsidRPr="009F047B" w:rsidR="00FD0CBD" w:rsidP="00B63EB4" w:rsidRDefault="00FD0CBD" w14:paraId="711BD2A4" w14:textId="1020464A">
      <w:pPr>
        <w:spacing w:line="360" w:lineRule="auto"/>
        <w:rPr>
          <w:rFonts w:ascii="Verdana" w:hAnsi="Verdana"/>
          <w:iCs/>
          <w:sz w:val="18"/>
          <w:szCs w:val="18"/>
        </w:rPr>
      </w:pPr>
    </w:p>
    <w:p w:rsidRPr="009F047B" w:rsidR="00F779B5" w:rsidP="00F779B5" w:rsidRDefault="009B3EED" w14:paraId="1AF06772" w14:textId="3E54D549">
      <w:pPr>
        <w:numPr>
          <w:ilvl w:val="0"/>
          <w:numId w:val="21"/>
        </w:numPr>
        <w:spacing w:line="360" w:lineRule="auto"/>
        <w:rPr>
          <w:rFonts w:ascii="Verdana" w:hAnsi="Verdana"/>
          <w:i/>
          <w:sz w:val="18"/>
          <w:szCs w:val="18"/>
        </w:rPr>
      </w:pPr>
      <w:r w:rsidRPr="009F047B">
        <w:rPr>
          <w:rFonts w:ascii="Verdana" w:hAnsi="Verdana"/>
          <w:i/>
          <w:sz w:val="18"/>
          <w:szCs w:val="18"/>
        </w:rPr>
        <w:t>Eerste inschatting van k</w:t>
      </w:r>
      <w:r w:rsidRPr="009F047B" w:rsidR="00FD0CBD">
        <w:rPr>
          <w:rFonts w:ascii="Verdana" w:hAnsi="Verdana"/>
          <w:i/>
          <w:sz w:val="18"/>
          <w:szCs w:val="18"/>
        </w:rPr>
        <w:t>rachtenveld</w:t>
      </w:r>
    </w:p>
    <w:p w:rsidRPr="009F047B" w:rsidR="00F779B5" w:rsidP="00F779B5" w:rsidRDefault="00F779B5" w14:paraId="798E4375" w14:textId="76061C02">
      <w:pPr>
        <w:spacing w:line="360" w:lineRule="auto"/>
        <w:rPr>
          <w:rFonts w:ascii="Verdana" w:hAnsi="Verdana"/>
          <w:iCs/>
          <w:sz w:val="18"/>
          <w:szCs w:val="18"/>
        </w:rPr>
      </w:pPr>
      <w:r w:rsidRPr="009F047B">
        <w:rPr>
          <w:rFonts w:ascii="Verdana" w:hAnsi="Verdana"/>
          <w:iCs/>
          <w:sz w:val="18"/>
          <w:szCs w:val="18"/>
        </w:rPr>
        <w:t xml:space="preserve">Naar verwachting zal er brede steun zijn in de Raad voor de voorgestelde </w:t>
      </w:r>
      <w:r w:rsidRPr="009F047B" w:rsidR="00417D62">
        <w:rPr>
          <w:rFonts w:ascii="Verdana" w:hAnsi="Verdana"/>
          <w:iCs/>
          <w:sz w:val="18"/>
          <w:szCs w:val="18"/>
        </w:rPr>
        <w:t xml:space="preserve">structuur met daarin een </w:t>
      </w:r>
      <w:r w:rsidRPr="009F047B">
        <w:rPr>
          <w:rFonts w:ascii="Verdana" w:hAnsi="Verdana"/>
          <w:iCs/>
          <w:sz w:val="18"/>
          <w:szCs w:val="18"/>
        </w:rPr>
        <w:t>over</w:t>
      </w:r>
      <w:r w:rsidRPr="009F047B" w:rsidR="00433C5C">
        <w:rPr>
          <w:rFonts w:ascii="Verdana" w:hAnsi="Verdana"/>
          <w:iCs/>
          <w:sz w:val="18"/>
          <w:szCs w:val="18"/>
        </w:rPr>
        <w:t>heveling</w:t>
      </w:r>
      <w:r w:rsidRPr="009F047B">
        <w:rPr>
          <w:rFonts w:ascii="Verdana" w:hAnsi="Verdana"/>
          <w:iCs/>
          <w:sz w:val="18"/>
          <w:szCs w:val="18"/>
        </w:rPr>
        <w:t xml:space="preserve"> van fondsen onder pijler 3 (</w:t>
      </w:r>
      <w:r w:rsidRPr="009F047B" w:rsidR="00417D62">
        <w:rPr>
          <w:rFonts w:ascii="Verdana" w:hAnsi="Verdana"/>
          <w:i/>
          <w:sz w:val="18"/>
          <w:szCs w:val="18"/>
        </w:rPr>
        <w:t>G</w:t>
      </w:r>
      <w:r w:rsidRPr="009F047B" w:rsidR="00E35477">
        <w:rPr>
          <w:rFonts w:ascii="Verdana" w:hAnsi="Verdana"/>
          <w:i/>
          <w:sz w:val="18"/>
          <w:szCs w:val="18"/>
        </w:rPr>
        <w:t>lobal Europe</w:t>
      </w:r>
      <w:r w:rsidRPr="009F047B">
        <w:rPr>
          <w:rFonts w:ascii="Verdana" w:hAnsi="Verdana"/>
          <w:iCs/>
          <w:sz w:val="18"/>
          <w:szCs w:val="18"/>
        </w:rPr>
        <w:t>) naar pijler 1 (</w:t>
      </w:r>
      <w:r w:rsidRPr="009F047B" w:rsidR="00E35477">
        <w:rPr>
          <w:rFonts w:ascii="Verdana" w:hAnsi="Verdana"/>
          <w:iCs/>
          <w:sz w:val="18"/>
          <w:szCs w:val="18"/>
        </w:rPr>
        <w:t>Nationale en Regionale Partnerschap Plannen</w:t>
      </w:r>
      <w:r w:rsidRPr="009F047B">
        <w:rPr>
          <w:rFonts w:ascii="Verdana" w:hAnsi="Verdana"/>
          <w:iCs/>
          <w:sz w:val="18"/>
          <w:szCs w:val="18"/>
        </w:rPr>
        <w:t xml:space="preserve">) </w:t>
      </w:r>
      <w:r w:rsidRPr="009F047B" w:rsidR="00EC46CD">
        <w:rPr>
          <w:rFonts w:ascii="Verdana" w:hAnsi="Verdana"/>
          <w:iCs/>
          <w:sz w:val="18"/>
          <w:szCs w:val="18"/>
        </w:rPr>
        <w:t>bij</w:t>
      </w:r>
      <w:r w:rsidRPr="009F047B">
        <w:rPr>
          <w:rFonts w:ascii="Verdana" w:hAnsi="Verdana"/>
          <w:iCs/>
          <w:sz w:val="18"/>
          <w:szCs w:val="18"/>
        </w:rPr>
        <w:t xml:space="preserve"> EU-toetreding van Montenegro. Een groep lidstaten benadrukt dat het financieel pakket niet vooruit kan lopen op de uitkomst van de MFK-onderhandelingen. Er zijn </w:t>
      </w:r>
      <w:r w:rsidRPr="009F047B" w:rsidR="0086149A">
        <w:rPr>
          <w:rFonts w:ascii="Verdana" w:hAnsi="Verdana"/>
          <w:iCs/>
          <w:sz w:val="18"/>
          <w:szCs w:val="18"/>
        </w:rPr>
        <w:t>echter</w:t>
      </w:r>
      <w:r w:rsidRPr="009F047B">
        <w:rPr>
          <w:rFonts w:ascii="Verdana" w:hAnsi="Verdana"/>
          <w:iCs/>
          <w:sz w:val="18"/>
          <w:szCs w:val="18"/>
        </w:rPr>
        <w:t xml:space="preserve"> ook lidstaten die de Commissie </w:t>
      </w:r>
      <w:r w:rsidRPr="009F047B" w:rsidR="00EC46CD">
        <w:rPr>
          <w:rFonts w:ascii="Verdana" w:hAnsi="Verdana"/>
          <w:iCs/>
          <w:sz w:val="18"/>
          <w:szCs w:val="18"/>
        </w:rPr>
        <w:t>al</w:t>
      </w:r>
      <w:r w:rsidRPr="009F047B">
        <w:rPr>
          <w:rFonts w:ascii="Verdana" w:hAnsi="Verdana"/>
          <w:iCs/>
          <w:sz w:val="18"/>
          <w:szCs w:val="18"/>
        </w:rPr>
        <w:t xml:space="preserve"> met Montenegro willen laten onderhandelen over</w:t>
      </w:r>
      <w:r w:rsidRPr="009F047B" w:rsidR="00EC46CD">
        <w:rPr>
          <w:rFonts w:ascii="Verdana" w:hAnsi="Verdana"/>
          <w:iCs/>
          <w:sz w:val="18"/>
          <w:szCs w:val="18"/>
        </w:rPr>
        <w:t xml:space="preserve"> financiële en budgettaire bepalingen </w:t>
      </w:r>
      <w:r w:rsidRPr="009F047B" w:rsidR="00417D62">
        <w:rPr>
          <w:rFonts w:ascii="Verdana" w:hAnsi="Verdana"/>
          <w:iCs/>
          <w:sz w:val="18"/>
          <w:szCs w:val="18"/>
        </w:rPr>
        <w:t>voor EU-</w:t>
      </w:r>
      <w:r w:rsidRPr="009F047B" w:rsidR="00EC46CD">
        <w:rPr>
          <w:rFonts w:ascii="Verdana" w:hAnsi="Verdana"/>
          <w:iCs/>
          <w:sz w:val="18"/>
          <w:szCs w:val="18"/>
        </w:rPr>
        <w:t xml:space="preserve">toetreding. </w:t>
      </w:r>
      <w:r w:rsidRPr="009F047B">
        <w:rPr>
          <w:rFonts w:ascii="Verdana" w:hAnsi="Verdana"/>
          <w:iCs/>
          <w:sz w:val="18"/>
          <w:szCs w:val="18"/>
        </w:rPr>
        <w:t>Verschillende lidstaten plaatsen vraagtekens bij het voorstel</w:t>
      </w:r>
      <w:r w:rsidRPr="009F047B" w:rsidR="00417D62">
        <w:rPr>
          <w:rFonts w:ascii="Verdana" w:hAnsi="Verdana"/>
          <w:iCs/>
          <w:sz w:val="18"/>
          <w:szCs w:val="18"/>
        </w:rPr>
        <w:t xml:space="preserve"> van de Commissie</w:t>
      </w:r>
      <w:r w:rsidRPr="009F047B">
        <w:rPr>
          <w:rFonts w:ascii="Verdana" w:hAnsi="Verdana"/>
          <w:iCs/>
          <w:sz w:val="18"/>
          <w:szCs w:val="18"/>
        </w:rPr>
        <w:t xml:space="preserve"> om pijler 3</w:t>
      </w:r>
      <w:r w:rsidRPr="009F047B" w:rsidR="007F01E7">
        <w:rPr>
          <w:rFonts w:ascii="Verdana" w:hAnsi="Verdana"/>
          <w:iCs/>
          <w:sz w:val="18"/>
          <w:szCs w:val="18"/>
        </w:rPr>
        <w:t xml:space="preserve"> </w:t>
      </w:r>
      <w:r w:rsidRPr="009F047B">
        <w:rPr>
          <w:rFonts w:ascii="Verdana" w:hAnsi="Verdana"/>
          <w:iCs/>
          <w:sz w:val="18"/>
          <w:szCs w:val="18"/>
        </w:rPr>
        <w:t xml:space="preserve">te verhogen na toetreding van Montenegro, net als bij de relatief hoge geraamde kosten voor pijler 4 (Administratie). </w:t>
      </w:r>
      <w:r w:rsidRPr="009F047B" w:rsidR="00F57EF3">
        <w:rPr>
          <w:rFonts w:ascii="Verdana" w:hAnsi="Verdana"/>
          <w:iCs/>
          <w:sz w:val="18"/>
          <w:szCs w:val="18"/>
        </w:rPr>
        <w:t xml:space="preserve">In deze fase is geen formele rol weggelegd voor het Europees Parlement. </w:t>
      </w:r>
    </w:p>
    <w:p w:rsidRPr="009F047B" w:rsidR="008528D9" w:rsidP="0064352A" w:rsidRDefault="008528D9" w14:paraId="11C19C33" w14:textId="77777777">
      <w:pPr>
        <w:tabs>
          <w:tab w:val="left" w:pos="360"/>
          <w:tab w:val="left" w:pos="4500"/>
          <w:tab w:val="left" w:pos="5580"/>
        </w:tabs>
        <w:spacing w:line="360" w:lineRule="auto"/>
        <w:rPr>
          <w:rFonts w:ascii="Verdana" w:hAnsi="Verdana"/>
          <w:sz w:val="18"/>
          <w:szCs w:val="18"/>
        </w:rPr>
      </w:pPr>
    </w:p>
    <w:p w:rsidRPr="009F047B" w:rsidR="00F54AFF" w:rsidP="000D01B7" w:rsidRDefault="00FD0CBD" w14:paraId="4B921636" w14:textId="77777777">
      <w:pPr>
        <w:numPr>
          <w:ilvl w:val="0"/>
          <w:numId w:val="15"/>
        </w:numPr>
        <w:spacing w:line="360" w:lineRule="auto"/>
        <w:rPr>
          <w:rFonts w:ascii="Verdana" w:hAnsi="Verdana"/>
          <w:b/>
          <w:sz w:val="18"/>
          <w:szCs w:val="18"/>
        </w:rPr>
      </w:pPr>
      <w:r w:rsidRPr="009F047B">
        <w:rPr>
          <w:rFonts w:ascii="Verdana" w:hAnsi="Verdana"/>
          <w:b/>
          <w:sz w:val="18"/>
          <w:szCs w:val="18"/>
        </w:rPr>
        <w:t>G</w:t>
      </w:r>
      <w:r w:rsidRPr="009F047B" w:rsidR="008528D9">
        <w:rPr>
          <w:rFonts w:ascii="Verdana" w:hAnsi="Verdana"/>
          <w:b/>
          <w:sz w:val="18"/>
          <w:szCs w:val="18"/>
        </w:rPr>
        <w:t>rondhouding ten aanzien van</w:t>
      </w:r>
      <w:r w:rsidRPr="009F047B" w:rsidR="00A57FAE">
        <w:rPr>
          <w:rFonts w:ascii="Verdana" w:hAnsi="Verdana"/>
          <w:b/>
          <w:sz w:val="18"/>
          <w:szCs w:val="18"/>
        </w:rPr>
        <w:t xml:space="preserve"> bevoegdheid,</w:t>
      </w:r>
      <w:r w:rsidRPr="009F047B" w:rsidR="008528D9">
        <w:rPr>
          <w:rFonts w:ascii="Verdana" w:hAnsi="Verdana"/>
          <w:b/>
          <w:sz w:val="18"/>
          <w:szCs w:val="18"/>
        </w:rPr>
        <w:t xml:space="preserve"> subsidiariteit,</w:t>
      </w:r>
      <w:r w:rsidRPr="009F047B" w:rsidR="00F54AFF">
        <w:rPr>
          <w:rFonts w:ascii="Verdana" w:hAnsi="Verdana"/>
          <w:b/>
          <w:sz w:val="18"/>
          <w:szCs w:val="18"/>
        </w:rPr>
        <w:t xml:space="preserve"> proportionaliteit</w:t>
      </w:r>
      <w:r w:rsidRPr="009F047B" w:rsidR="008528D9">
        <w:rPr>
          <w:rFonts w:ascii="Verdana" w:hAnsi="Verdana"/>
          <w:b/>
          <w:sz w:val="18"/>
          <w:szCs w:val="18"/>
        </w:rPr>
        <w:t>,</w:t>
      </w:r>
      <w:r w:rsidRPr="009F047B" w:rsidR="00FB216B">
        <w:rPr>
          <w:rFonts w:ascii="Verdana" w:hAnsi="Verdana"/>
          <w:b/>
          <w:sz w:val="18"/>
          <w:szCs w:val="18"/>
        </w:rPr>
        <w:t xml:space="preserve"> financiële gevolgen </w:t>
      </w:r>
      <w:r w:rsidRPr="009F047B" w:rsidR="008528D9">
        <w:rPr>
          <w:rFonts w:ascii="Verdana" w:hAnsi="Verdana"/>
          <w:b/>
          <w:sz w:val="18"/>
          <w:szCs w:val="18"/>
        </w:rPr>
        <w:t>en</w:t>
      </w:r>
      <w:r w:rsidRPr="009F047B" w:rsidR="0020223E">
        <w:rPr>
          <w:rFonts w:ascii="Verdana" w:hAnsi="Verdana"/>
          <w:b/>
          <w:sz w:val="18"/>
          <w:szCs w:val="18"/>
        </w:rPr>
        <w:t xml:space="preserve"> gevolgen</w:t>
      </w:r>
      <w:r w:rsidRPr="009F047B" w:rsidR="00786711">
        <w:rPr>
          <w:rFonts w:ascii="Verdana" w:hAnsi="Verdana"/>
          <w:b/>
          <w:sz w:val="18"/>
          <w:szCs w:val="18"/>
        </w:rPr>
        <w:t xml:space="preserve"> </w:t>
      </w:r>
      <w:r w:rsidRPr="009F047B" w:rsidR="00A21B6F">
        <w:rPr>
          <w:rFonts w:ascii="Verdana" w:hAnsi="Verdana"/>
          <w:b/>
          <w:sz w:val="18"/>
          <w:szCs w:val="18"/>
        </w:rPr>
        <w:t xml:space="preserve">voor </w:t>
      </w:r>
      <w:r w:rsidRPr="009F047B" w:rsidR="003E6E9E">
        <w:rPr>
          <w:rFonts w:ascii="Verdana" w:hAnsi="Verdana"/>
          <w:b/>
          <w:sz w:val="18"/>
          <w:szCs w:val="18"/>
        </w:rPr>
        <w:t>regeldruk</w:t>
      </w:r>
      <w:r w:rsidRPr="009F047B" w:rsidR="00A21B6F">
        <w:rPr>
          <w:rFonts w:ascii="Verdana" w:hAnsi="Verdana"/>
          <w:b/>
          <w:sz w:val="18"/>
          <w:szCs w:val="18"/>
        </w:rPr>
        <w:t>, concurrentiekracht en geopolitieke aspecten</w:t>
      </w:r>
      <w:r w:rsidRPr="009F047B" w:rsidR="00786711">
        <w:rPr>
          <w:rFonts w:ascii="Verdana" w:hAnsi="Verdana"/>
          <w:b/>
          <w:sz w:val="18"/>
          <w:szCs w:val="18"/>
        </w:rPr>
        <w:t xml:space="preserve"> </w:t>
      </w:r>
    </w:p>
    <w:p w:rsidRPr="009F047B" w:rsidR="00FD0CBD" w:rsidP="00FD0CBD" w:rsidRDefault="00FD0CBD" w14:paraId="3E6AEC9C" w14:textId="77777777">
      <w:pPr>
        <w:numPr>
          <w:ilvl w:val="0"/>
          <w:numId w:val="22"/>
        </w:numPr>
        <w:spacing w:line="360" w:lineRule="auto"/>
        <w:rPr>
          <w:rFonts w:ascii="Verdana" w:hAnsi="Verdana"/>
          <w:i/>
          <w:sz w:val="18"/>
          <w:szCs w:val="18"/>
        </w:rPr>
      </w:pPr>
      <w:r w:rsidRPr="009F047B">
        <w:rPr>
          <w:rFonts w:ascii="Verdana" w:hAnsi="Verdana"/>
          <w:i/>
          <w:sz w:val="18"/>
          <w:szCs w:val="18"/>
        </w:rPr>
        <w:t>Bevoegdheid</w:t>
      </w:r>
    </w:p>
    <w:p w:rsidRPr="009F047B" w:rsidR="006929AB" w:rsidP="00EC2865" w:rsidRDefault="006929AB" w14:paraId="4041C712" w14:textId="2A6C3CD1">
      <w:pPr>
        <w:pStyle w:val="Geenafstand"/>
        <w:spacing w:line="360" w:lineRule="auto"/>
        <w:rPr>
          <w:rFonts w:ascii="Verdana" w:hAnsi="Verdana"/>
          <w:sz w:val="18"/>
          <w:szCs w:val="18"/>
          <w:lang w:val="nl-NL"/>
        </w:rPr>
      </w:pPr>
      <w:r w:rsidRPr="009F047B">
        <w:rPr>
          <w:rFonts w:ascii="Verdana" w:hAnsi="Verdana"/>
          <w:sz w:val="18"/>
          <w:szCs w:val="18"/>
          <w:lang w:val="nl-NL"/>
        </w:rPr>
        <w:t xml:space="preserve">De grondhouding van het kabinet is positief. De mededeling heeft betrekking op </w:t>
      </w:r>
      <w:r w:rsidRPr="009F047B" w:rsidR="00EC2865">
        <w:rPr>
          <w:rFonts w:ascii="Verdana" w:hAnsi="Verdana"/>
          <w:sz w:val="18"/>
          <w:szCs w:val="18"/>
          <w:lang w:val="nl-NL"/>
        </w:rPr>
        <w:t>de financiële en budgettaire aspecten van toekomstige toetreding van Montenegro onder het volgende MFK</w:t>
      </w:r>
      <w:r w:rsidRPr="009F047B">
        <w:rPr>
          <w:rFonts w:ascii="Verdana" w:hAnsi="Verdana"/>
          <w:sz w:val="18"/>
          <w:szCs w:val="18"/>
          <w:lang w:val="nl-NL"/>
        </w:rPr>
        <w:t xml:space="preserve">. </w:t>
      </w:r>
      <w:r w:rsidRPr="009F047B" w:rsidR="005B2340">
        <w:rPr>
          <w:rFonts w:ascii="Verdana" w:hAnsi="Verdana"/>
          <w:sz w:val="18"/>
          <w:szCs w:val="18"/>
          <w:lang w:val="nl-NL"/>
        </w:rPr>
        <w:t>De bevoegdheid om financiële regels vast te stellen die de procedure bepalen voor de opstelling en uitvoering van de EU-begroting kan, gezien zijn aard, enkel door de EU worden uitgeoefend.</w:t>
      </w:r>
      <w:r w:rsidRPr="009F047B" w:rsidR="005B2340">
        <w:rPr>
          <w:rStyle w:val="Voetnootmarkering"/>
          <w:rFonts w:ascii="Verdana" w:hAnsi="Verdana"/>
          <w:sz w:val="18"/>
          <w:szCs w:val="18"/>
          <w:lang w:val="nl-NL"/>
        </w:rPr>
        <w:footnoteReference w:id="6"/>
      </w:r>
      <w:r w:rsidRPr="009F047B" w:rsidR="00C36834">
        <w:rPr>
          <w:rFonts w:ascii="Verdana" w:hAnsi="Verdana"/>
          <w:sz w:val="18"/>
          <w:szCs w:val="18"/>
          <w:lang w:val="nl-NL"/>
        </w:rPr>
        <w:br/>
      </w:r>
    </w:p>
    <w:p w:rsidRPr="009F047B" w:rsidR="00FD0CBD" w:rsidP="00FD0CBD" w:rsidRDefault="00FD0CBD" w14:paraId="2703F218" w14:textId="77777777">
      <w:pPr>
        <w:numPr>
          <w:ilvl w:val="0"/>
          <w:numId w:val="22"/>
        </w:numPr>
        <w:spacing w:line="360" w:lineRule="auto"/>
        <w:rPr>
          <w:rFonts w:ascii="Verdana" w:hAnsi="Verdana"/>
          <w:i/>
          <w:sz w:val="18"/>
          <w:szCs w:val="18"/>
        </w:rPr>
      </w:pPr>
      <w:r w:rsidRPr="009F047B">
        <w:rPr>
          <w:rFonts w:ascii="Verdana" w:hAnsi="Verdana"/>
          <w:i/>
          <w:sz w:val="18"/>
          <w:szCs w:val="18"/>
        </w:rPr>
        <w:t>Subsidiar</w:t>
      </w:r>
      <w:r w:rsidRPr="009F047B" w:rsidR="006810FB">
        <w:rPr>
          <w:rFonts w:ascii="Verdana" w:hAnsi="Verdana"/>
          <w:i/>
          <w:sz w:val="18"/>
          <w:szCs w:val="18"/>
        </w:rPr>
        <w:t>it</w:t>
      </w:r>
      <w:r w:rsidRPr="009F047B">
        <w:rPr>
          <w:rFonts w:ascii="Verdana" w:hAnsi="Verdana"/>
          <w:i/>
          <w:sz w:val="18"/>
          <w:szCs w:val="18"/>
        </w:rPr>
        <w:t>eit</w:t>
      </w:r>
    </w:p>
    <w:p w:rsidR="006929AB" w:rsidP="006929AB" w:rsidRDefault="005B2340" w14:paraId="2B1B339C" w14:textId="39BC5EC1">
      <w:pPr>
        <w:spacing w:line="360" w:lineRule="auto"/>
        <w:rPr>
          <w:rFonts w:ascii="Verdana" w:hAnsi="Verdana"/>
          <w:iCs/>
          <w:sz w:val="18"/>
          <w:szCs w:val="18"/>
        </w:rPr>
      </w:pPr>
      <w:r w:rsidRPr="009F047B">
        <w:rPr>
          <w:rFonts w:ascii="Verdana" w:hAnsi="Verdana"/>
          <w:iCs/>
          <w:sz w:val="18"/>
          <w:szCs w:val="18"/>
        </w:rPr>
        <w:t>D</w:t>
      </w:r>
      <w:r w:rsidRPr="009F047B" w:rsidR="0042062B">
        <w:rPr>
          <w:rFonts w:ascii="Verdana" w:hAnsi="Verdana"/>
          <w:iCs/>
          <w:sz w:val="18"/>
          <w:szCs w:val="18"/>
        </w:rPr>
        <w:t>e bevoegdheid van de EU om de financiële regels van de EU begroting vast te stellen (artikel 322, lid 1, sub a, VWEU) is een bevoegdheid die, gezien zijn aard, enkel door de EU kan worden uitgeoefend.</w:t>
      </w:r>
      <w:r w:rsidRPr="009F047B" w:rsidR="00FB7E78">
        <w:rPr>
          <w:rFonts w:ascii="Verdana" w:hAnsi="Verdana"/>
          <w:iCs/>
          <w:sz w:val="18"/>
          <w:szCs w:val="18"/>
        </w:rPr>
        <w:t xml:space="preserve"> </w:t>
      </w:r>
      <w:r w:rsidRPr="009F047B" w:rsidR="00260046">
        <w:rPr>
          <w:rFonts w:ascii="Verdana" w:hAnsi="Verdana"/>
          <w:iCs/>
          <w:sz w:val="18"/>
          <w:szCs w:val="18"/>
        </w:rPr>
        <w:t>Daarmee is de subsidiariteitstoets niet van toepassing.</w:t>
      </w:r>
      <w:r w:rsidRPr="009F047B" w:rsidR="00260046">
        <w:rPr>
          <w:rFonts w:ascii="Verdana" w:hAnsi="Verdana"/>
          <w:iCs/>
          <w:sz w:val="18"/>
          <w:szCs w:val="18"/>
          <w:highlight w:val="yellow"/>
        </w:rPr>
        <w:br/>
      </w:r>
    </w:p>
    <w:p w:rsidR="00F96DA3" w:rsidP="006929AB" w:rsidRDefault="00F96DA3" w14:paraId="3203A6BA" w14:textId="77777777">
      <w:pPr>
        <w:spacing w:line="360" w:lineRule="auto"/>
        <w:rPr>
          <w:rFonts w:ascii="Verdana" w:hAnsi="Verdana"/>
          <w:iCs/>
          <w:sz w:val="18"/>
          <w:szCs w:val="18"/>
        </w:rPr>
      </w:pPr>
    </w:p>
    <w:p w:rsidR="00F96DA3" w:rsidP="006929AB" w:rsidRDefault="00F96DA3" w14:paraId="53D4CF4F" w14:textId="77777777">
      <w:pPr>
        <w:spacing w:line="360" w:lineRule="auto"/>
        <w:rPr>
          <w:rFonts w:ascii="Verdana" w:hAnsi="Verdana"/>
          <w:iCs/>
          <w:sz w:val="18"/>
          <w:szCs w:val="18"/>
        </w:rPr>
      </w:pPr>
    </w:p>
    <w:p w:rsidRPr="009F047B" w:rsidR="00F96DA3" w:rsidP="006929AB" w:rsidRDefault="00F96DA3" w14:paraId="0005B592" w14:textId="77777777">
      <w:pPr>
        <w:spacing w:line="360" w:lineRule="auto"/>
        <w:rPr>
          <w:rFonts w:ascii="Verdana" w:hAnsi="Verdana"/>
          <w:iCs/>
          <w:sz w:val="18"/>
          <w:szCs w:val="18"/>
        </w:rPr>
      </w:pPr>
    </w:p>
    <w:p w:rsidRPr="009F047B" w:rsidR="00FD0CBD" w:rsidP="00FD0CBD" w:rsidRDefault="00FD0CBD" w14:paraId="5D6B38E4" w14:textId="77777777">
      <w:pPr>
        <w:numPr>
          <w:ilvl w:val="0"/>
          <w:numId w:val="22"/>
        </w:numPr>
        <w:spacing w:line="360" w:lineRule="auto"/>
        <w:rPr>
          <w:rFonts w:ascii="Verdana" w:hAnsi="Verdana"/>
          <w:i/>
          <w:sz w:val="18"/>
          <w:szCs w:val="18"/>
        </w:rPr>
      </w:pPr>
      <w:r w:rsidRPr="009F047B">
        <w:rPr>
          <w:rFonts w:ascii="Verdana" w:hAnsi="Verdana"/>
          <w:i/>
          <w:sz w:val="18"/>
          <w:szCs w:val="18"/>
        </w:rPr>
        <w:lastRenderedPageBreak/>
        <w:t>Proportionaliteit</w:t>
      </w:r>
    </w:p>
    <w:p w:rsidRPr="009F047B" w:rsidR="006929AB" w:rsidP="006929AB" w:rsidRDefault="006929AB" w14:paraId="1E46B34F" w14:textId="3E8B2612">
      <w:pPr>
        <w:spacing w:line="360" w:lineRule="auto"/>
        <w:rPr>
          <w:rFonts w:ascii="Verdana" w:hAnsi="Verdana"/>
          <w:iCs/>
          <w:sz w:val="18"/>
          <w:szCs w:val="18"/>
          <w:highlight w:val="yellow"/>
        </w:rPr>
      </w:pPr>
      <w:r w:rsidRPr="009F047B">
        <w:rPr>
          <w:rFonts w:ascii="Verdana" w:hAnsi="Verdana"/>
          <w:iCs/>
          <w:sz w:val="18"/>
          <w:szCs w:val="18"/>
        </w:rPr>
        <w:t xml:space="preserve">De grondhouding van het kabinet is </w:t>
      </w:r>
      <w:r w:rsidRPr="009F047B" w:rsidR="002964F3">
        <w:rPr>
          <w:rFonts w:ascii="Verdana" w:hAnsi="Verdana"/>
          <w:iCs/>
          <w:sz w:val="18"/>
          <w:szCs w:val="18"/>
        </w:rPr>
        <w:t>positief met kanttekening</w:t>
      </w:r>
      <w:r w:rsidRPr="009F047B">
        <w:rPr>
          <w:rFonts w:ascii="Verdana" w:hAnsi="Verdana"/>
          <w:iCs/>
          <w:sz w:val="18"/>
          <w:szCs w:val="18"/>
        </w:rPr>
        <w:t>. De mededeling heeft tot doel</w:t>
      </w:r>
      <w:r w:rsidRPr="009F047B" w:rsidR="00260046">
        <w:rPr>
          <w:rFonts w:ascii="Verdana" w:hAnsi="Verdana"/>
          <w:iCs/>
          <w:sz w:val="18"/>
          <w:szCs w:val="18"/>
        </w:rPr>
        <w:t xml:space="preserve"> om de </w:t>
      </w:r>
      <w:r w:rsidRPr="009F047B" w:rsidR="00260046">
        <w:rPr>
          <w:rFonts w:ascii="Verdana" w:hAnsi="Verdana"/>
          <w:sz w:val="18"/>
          <w:szCs w:val="18"/>
        </w:rPr>
        <w:t>financiële en budgettaire aspecten van toekomstige toetreding van Montenegro te schetsen.</w:t>
      </w:r>
      <w:r w:rsidRPr="009F047B" w:rsidR="00260046">
        <w:rPr>
          <w:rFonts w:ascii="Verdana" w:hAnsi="Verdana"/>
          <w:iCs/>
          <w:sz w:val="18"/>
          <w:szCs w:val="18"/>
        </w:rPr>
        <w:t xml:space="preserve"> </w:t>
      </w:r>
      <w:r w:rsidRPr="009F047B">
        <w:rPr>
          <w:rFonts w:ascii="Verdana" w:hAnsi="Verdana"/>
          <w:iCs/>
          <w:sz w:val="18"/>
          <w:szCs w:val="18"/>
        </w:rPr>
        <w:t>Het voorgestelde optreden is geschikt om deze doelstelling te bereiken, omdat</w:t>
      </w:r>
      <w:r w:rsidRPr="009F047B" w:rsidR="00260046">
        <w:rPr>
          <w:rFonts w:ascii="Verdana" w:hAnsi="Verdana"/>
          <w:iCs/>
          <w:sz w:val="18"/>
          <w:szCs w:val="18"/>
        </w:rPr>
        <w:t xml:space="preserve"> </w:t>
      </w:r>
      <w:r w:rsidRPr="009F047B" w:rsidR="002964F3">
        <w:rPr>
          <w:rFonts w:ascii="Verdana" w:hAnsi="Verdana"/>
          <w:iCs/>
          <w:sz w:val="18"/>
          <w:szCs w:val="18"/>
        </w:rPr>
        <w:t>het schetst hoe dit binnen de structuur van een volgende MFK</w:t>
      </w:r>
      <w:r w:rsidRPr="009F047B" w:rsidR="00260046">
        <w:rPr>
          <w:rFonts w:ascii="Verdana" w:hAnsi="Verdana"/>
          <w:iCs/>
          <w:sz w:val="18"/>
          <w:szCs w:val="18"/>
        </w:rPr>
        <w:t xml:space="preserve"> zou kunnen plaatsvinden. Echter meent het kabinet dat het voorstel verder gaat dan noodzakelijk om deze doelstelling te bereiken, omdat het ook voorstellen bevat die </w:t>
      </w:r>
      <w:r w:rsidRPr="009F047B" w:rsidR="002964F3">
        <w:rPr>
          <w:rFonts w:ascii="Verdana" w:hAnsi="Verdana"/>
          <w:iCs/>
          <w:sz w:val="18"/>
          <w:szCs w:val="18"/>
        </w:rPr>
        <w:t xml:space="preserve">niet direct toezien op de benodigde financiële middelen voor toekomstige toetreding van Montenegro, zoals de voorgestelde ophoging van </w:t>
      </w:r>
      <w:r w:rsidRPr="009F047B" w:rsidR="002964F3">
        <w:rPr>
          <w:rFonts w:ascii="Verdana" w:hAnsi="Verdana"/>
          <w:i/>
          <w:sz w:val="18"/>
          <w:szCs w:val="18"/>
        </w:rPr>
        <w:t>Global Europe</w:t>
      </w:r>
      <w:r w:rsidRPr="009F047B" w:rsidR="002964F3">
        <w:rPr>
          <w:rFonts w:ascii="Verdana" w:hAnsi="Verdana"/>
          <w:iCs/>
          <w:sz w:val="18"/>
          <w:szCs w:val="18"/>
        </w:rPr>
        <w:t>.</w:t>
      </w:r>
      <w:r w:rsidRPr="009F047B" w:rsidR="002964F3">
        <w:rPr>
          <w:rFonts w:ascii="Verdana" w:hAnsi="Verdana"/>
          <w:iCs/>
          <w:sz w:val="18"/>
          <w:szCs w:val="18"/>
          <w:highlight w:val="yellow"/>
        </w:rPr>
        <w:br/>
      </w:r>
    </w:p>
    <w:p w:rsidRPr="009F047B" w:rsidR="00FD0CBD" w:rsidP="00FD0CBD" w:rsidRDefault="00FD0CBD" w14:paraId="7572692D" w14:textId="34BA6860">
      <w:pPr>
        <w:numPr>
          <w:ilvl w:val="0"/>
          <w:numId w:val="22"/>
        </w:numPr>
        <w:spacing w:line="360" w:lineRule="auto"/>
        <w:rPr>
          <w:rFonts w:ascii="Verdana" w:hAnsi="Verdana"/>
          <w:i/>
          <w:sz w:val="18"/>
          <w:szCs w:val="18"/>
        </w:rPr>
      </w:pPr>
      <w:r w:rsidRPr="009F047B">
        <w:rPr>
          <w:rFonts w:ascii="Verdana" w:hAnsi="Verdana"/>
          <w:i/>
          <w:sz w:val="18"/>
          <w:szCs w:val="18"/>
        </w:rPr>
        <w:t>Financië</w:t>
      </w:r>
      <w:r w:rsidRPr="009F047B" w:rsidR="006810FB">
        <w:rPr>
          <w:rFonts w:ascii="Verdana" w:hAnsi="Verdana"/>
          <w:i/>
          <w:sz w:val="18"/>
          <w:szCs w:val="18"/>
        </w:rPr>
        <w:t>le gevolgen</w:t>
      </w:r>
    </w:p>
    <w:p w:rsidRPr="009F047B" w:rsidR="007F01E7" w:rsidP="00934D3C" w:rsidRDefault="00FB7E78" w14:paraId="1B50F3AE" w14:textId="7BFDECF7">
      <w:pPr>
        <w:spacing w:line="360" w:lineRule="auto"/>
        <w:rPr>
          <w:rFonts w:ascii="Verdana" w:hAnsi="Verdana"/>
          <w:iCs/>
          <w:sz w:val="18"/>
          <w:szCs w:val="18"/>
        </w:rPr>
      </w:pPr>
      <w:r w:rsidRPr="009F047B">
        <w:rPr>
          <w:rFonts w:ascii="Verdana" w:hAnsi="Verdana"/>
          <w:iCs/>
          <w:sz w:val="18"/>
          <w:szCs w:val="18"/>
        </w:rPr>
        <w:t>Het kabinet wil niet vooruit lopen op de integrale afweging van middelen na 2027. In het geval van besluitvorming over middelen na 2027 moet de Nederlandse inzet passen binnen de overkoepelende inzet voor de MFK-onderhandelingen. De precieze verdeling van middelen na 2027 is afhankelijk van het toekomstige akkoord over de financiële kaders van de EU-begroting 2028-2034.</w:t>
      </w:r>
      <w:r w:rsidRPr="009F047B" w:rsidR="006515A6">
        <w:rPr>
          <w:rFonts w:ascii="Verdana" w:hAnsi="Verdana"/>
          <w:iCs/>
          <w:sz w:val="18"/>
          <w:szCs w:val="18"/>
        </w:rPr>
        <w:t xml:space="preserve"> </w:t>
      </w:r>
    </w:p>
    <w:p w:rsidRPr="009F047B" w:rsidR="00934D3C" w:rsidP="00934D3C" w:rsidRDefault="00934D3C" w14:paraId="1A2488A8" w14:textId="664E1D4E">
      <w:pPr>
        <w:spacing w:line="360" w:lineRule="auto"/>
        <w:rPr>
          <w:rFonts w:ascii="Verdana" w:hAnsi="Verdana"/>
          <w:iCs/>
          <w:sz w:val="18"/>
          <w:szCs w:val="18"/>
        </w:rPr>
      </w:pPr>
    </w:p>
    <w:p w:rsidRPr="009F047B" w:rsidR="006810FB" w:rsidP="00FD0CBD" w:rsidRDefault="006810FB" w14:paraId="4139E832" w14:textId="77777777">
      <w:pPr>
        <w:numPr>
          <w:ilvl w:val="0"/>
          <w:numId w:val="22"/>
        </w:numPr>
        <w:spacing w:line="360" w:lineRule="auto"/>
        <w:rPr>
          <w:rFonts w:ascii="Verdana" w:hAnsi="Verdana"/>
          <w:i/>
          <w:sz w:val="18"/>
          <w:szCs w:val="18"/>
        </w:rPr>
      </w:pPr>
      <w:r w:rsidRPr="009F047B">
        <w:rPr>
          <w:rFonts w:ascii="Verdana" w:hAnsi="Verdana"/>
          <w:i/>
          <w:sz w:val="18"/>
          <w:szCs w:val="18"/>
        </w:rPr>
        <w:t>Gevolgen voor regeldruk</w:t>
      </w:r>
      <w:r w:rsidRPr="009F047B" w:rsidR="00DB2696">
        <w:rPr>
          <w:rFonts w:ascii="Verdana" w:hAnsi="Verdana"/>
          <w:i/>
          <w:sz w:val="18"/>
          <w:szCs w:val="18"/>
        </w:rPr>
        <w:t>,</w:t>
      </w:r>
      <w:r w:rsidRPr="009F047B" w:rsidR="00881F26">
        <w:rPr>
          <w:rFonts w:ascii="Verdana" w:hAnsi="Verdana"/>
          <w:i/>
          <w:sz w:val="18"/>
          <w:szCs w:val="18"/>
        </w:rPr>
        <w:t xml:space="preserve"> concurrentiekracht</w:t>
      </w:r>
      <w:r w:rsidRPr="009F047B" w:rsidR="00A21B6F">
        <w:rPr>
          <w:rFonts w:ascii="Verdana" w:hAnsi="Verdana"/>
          <w:i/>
          <w:sz w:val="18"/>
          <w:szCs w:val="18"/>
        </w:rPr>
        <w:t xml:space="preserve"> en geopolitieke aspecten</w:t>
      </w:r>
    </w:p>
    <w:p w:rsidRPr="00935DEE" w:rsidR="00F54AFF" w:rsidP="00A048B7" w:rsidRDefault="00C36834" w14:paraId="2569E869" w14:textId="69208ADB">
      <w:pPr>
        <w:spacing w:line="360" w:lineRule="auto"/>
        <w:rPr>
          <w:rFonts w:ascii="Verdana" w:hAnsi="Verdana"/>
          <w:iCs/>
          <w:sz w:val="18"/>
          <w:szCs w:val="18"/>
        </w:rPr>
      </w:pPr>
      <w:r w:rsidRPr="009F047B">
        <w:rPr>
          <w:rFonts w:ascii="Verdana" w:hAnsi="Verdana"/>
          <w:iCs/>
          <w:sz w:val="18"/>
          <w:szCs w:val="18"/>
        </w:rPr>
        <w:t>De mededeling</w:t>
      </w:r>
      <w:r w:rsidRPr="009F047B" w:rsidR="00417D62">
        <w:rPr>
          <w:rFonts w:ascii="Verdana" w:hAnsi="Verdana"/>
          <w:iCs/>
          <w:sz w:val="18"/>
          <w:szCs w:val="18"/>
        </w:rPr>
        <w:t xml:space="preserve"> heeft betrekking op de financiële en budgettaire aspecten van toekomstige EU-toetreding van Montenegro</w:t>
      </w:r>
      <w:r w:rsidRPr="009F047B">
        <w:rPr>
          <w:rFonts w:ascii="Verdana" w:hAnsi="Verdana"/>
          <w:iCs/>
          <w:sz w:val="18"/>
          <w:szCs w:val="18"/>
        </w:rPr>
        <w:t xml:space="preserve">. Daarmee zijn er </w:t>
      </w:r>
      <w:r w:rsidRPr="009F047B" w:rsidR="00417D62">
        <w:rPr>
          <w:rFonts w:ascii="Verdana" w:hAnsi="Verdana"/>
          <w:iCs/>
          <w:sz w:val="18"/>
          <w:szCs w:val="18"/>
        </w:rPr>
        <w:t>geen directe gevolgen voor regeldruk en concurrentiekracht.</w:t>
      </w:r>
      <w:r w:rsidRPr="009F047B">
        <w:rPr>
          <w:rFonts w:ascii="Verdana" w:hAnsi="Verdana"/>
          <w:iCs/>
          <w:sz w:val="18"/>
          <w:szCs w:val="18"/>
        </w:rPr>
        <w:t xml:space="preserve"> Wel zal er naar verwachting een relatief beperkt </w:t>
      </w:r>
      <w:r w:rsidRPr="009F047B" w:rsidR="00AD73F3">
        <w:rPr>
          <w:rFonts w:ascii="Verdana" w:hAnsi="Verdana"/>
          <w:iCs/>
          <w:sz w:val="18"/>
          <w:szCs w:val="18"/>
        </w:rPr>
        <w:t>concurrentie-</w:t>
      </w:r>
      <w:r w:rsidRPr="009F047B">
        <w:rPr>
          <w:rFonts w:ascii="Verdana" w:hAnsi="Verdana"/>
          <w:iCs/>
          <w:sz w:val="18"/>
          <w:szCs w:val="18"/>
        </w:rPr>
        <w:t>effect uitgaan van toekomstige deelname van Montenegro aan het GLB en pijler 2 (concurrentievermogen, welvaart en veiligheid)</w:t>
      </w:r>
      <w:r w:rsidRPr="009F047B" w:rsidR="00AD73F3">
        <w:rPr>
          <w:rFonts w:ascii="Verdana" w:hAnsi="Verdana"/>
          <w:iCs/>
          <w:sz w:val="18"/>
          <w:szCs w:val="18"/>
        </w:rPr>
        <w:t xml:space="preserve"> en </w:t>
      </w:r>
      <w:r w:rsidRPr="009F047B" w:rsidR="00265F45">
        <w:rPr>
          <w:rFonts w:ascii="Verdana" w:hAnsi="Verdana"/>
          <w:iCs/>
          <w:sz w:val="18"/>
          <w:szCs w:val="18"/>
        </w:rPr>
        <w:t xml:space="preserve">de hierbij behorende </w:t>
      </w:r>
      <w:r w:rsidRPr="009F047B" w:rsidR="00AD73F3">
        <w:rPr>
          <w:rFonts w:ascii="Verdana" w:hAnsi="Verdana"/>
          <w:iCs/>
          <w:sz w:val="18"/>
          <w:szCs w:val="18"/>
        </w:rPr>
        <w:t>fondsen en programma’s</w:t>
      </w:r>
      <w:r w:rsidRPr="009F047B" w:rsidR="00265F45">
        <w:rPr>
          <w:rFonts w:ascii="Verdana" w:hAnsi="Verdana"/>
          <w:iCs/>
          <w:sz w:val="18"/>
          <w:szCs w:val="18"/>
        </w:rPr>
        <w:t>.</w:t>
      </w:r>
      <w:r w:rsidRPr="009F047B">
        <w:rPr>
          <w:rFonts w:ascii="Verdana" w:hAnsi="Verdana"/>
          <w:iCs/>
          <w:sz w:val="18"/>
          <w:szCs w:val="18"/>
        </w:rPr>
        <w:t xml:space="preserve"> Het voorstel om Montenegro meteen HOME-fondsen te laten ontvangen draagt bij aan de interne veiligheid van de EU.</w:t>
      </w:r>
      <w:r w:rsidRPr="009F047B" w:rsidR="006515A6">
        <w:rPr>
          <w:rFonts w:ascii="Verdana" w:hAnsi="Verdana"/>
          <w:iCs/>
          <w:sz w:val="18"/>
          <w:szCs w:val="18"/>
        </w:rPr>
        <w:t xml:space="preserve"> Met</w:t>
      </w:r>
      <w:r w:rsidRPr="009F047B" w:rsidR="00193432">
        <w:rPr>
          <w:rFonts w:ascii="Verdana" w:hAnsi="Verdana"/>
          <w:iCs/>
          <w:sz w:val="18"/>
          <w:szCs w:val="18"/>
        </w:rPr>
        <w:t xml:space="preserve"> </w:t>
      </w:r>
      <w:r w:rsidRPr="009F047B" w:rsidR="00990990">
        <w:rPr>
          <w:rFonts w:ascii="Verdana" w:hAnsi="Verdana"/>
          <w:iCs/>
          <w:sz w:val="18"/>
          <w:szCs w:val="18"/>
        </w:rPr>
        <w:t>de toekomstige Europese integratie van Montenegro</w:t>
      </w:r>
      <w:r w:rsidRPr="009F047B" w:rsidR="006515A6">
        <w:rPr>
          <w:rFonts w:ascii="Verdana" w:hAnsi="Verdana"/>
          <w:iCs/>
          <w:sz w:val="18"/>
          <w:szCs w:val="18"/>
        </w:rPr>
        <w:t xml:space="preserve"> versterkt de EU haar </w:t>
      </w:r>
      <w:r w:rsidRPr="009F047B" w:rsidR="00193432">
        <w:rPr>
          <w:rFonts w:ascii="Verdana" w:hAnsi="Verdana"/>
          <w:iCs/>
          <w:sz w:val="18"/>
          <w:szCs w:val="18"/>
        </w:rPr>
        <w:t>rol</w:t>
      </w:r>
      <w:r w:rsidRPr="009F047B" w:rsidR="006515A6">
        <w:rPr>
          <w:rFonts w:ascii="Verdana" w:hAnsi="Verdana"/>
          <w:iCs/>
          <w:sz w:val="18"/>
          <w:szCs w:val="18"/>
        </w:rPr>
        <w:t xml:space="preserve"> in de regio en daarmee haar geopolitieke positie.</w:t>
      </w:r>
    </w:p>
    <w:sectPr w:rsidRPr="00935DEE" w:rsidR="00F54AFF" w:rsidSect="00862967">
      <w:headerReference w:type="default" r:id="rId14"/>
      <w:footerReference w:type="even" r:id="rId15"/>
      <w:footerReference w:type="default" r:id="rId16"/>
      <w:footerReference w:type="first" r:id="rId17"/>
      <w:pgSz w:w="11906" w:h="16838"/>
      <w:pgMar w:top="1440" w:right="1440" w:bottom="1440" w:left="1440" w:header="708" w:footer="708" w:gutter="0"/>
      <w:cols w:space="708"/>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6CBDC" w14:textId="77777777" w:rsidR="00992874" w:rsidRDefault="00992874">
      <w:r>
        <w:separator/>
      </w:r>
    </w:p>
  </w:endnote>
  <w:endnote w:type="continuationSeparator" w:id="0">
    <w:p w14:paraId="2FA50FE9" w14:textId="77777777" w:rsidR="00992874" w:rsidRDefault="00992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ms Rmn">
    <w:altName w:val="Times New Roman"/>
    <w:panose1 w:val="0202060304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2AE6D" w14:textId="7169A3F3" w:rsidR="00F54AFF" w:rsidRDefault="00D446B4">
    <w:pPr>
      <w:pStyle w:val="Voettekst"/>
      <w:framePr w:wrap="around" w:vAnchor="text" w:hAnchor="margin" w:xAlign="center" w:y="1"/>
      <w:rPr>
        <w:rStyle w:val="Paginanummer"/>
      </w:rPr>
    </w:pPr>
    <w:r>
      <w:rPr>
        <w:noProof/>
      </w:rPr>
      <mc:AlternateContent>
        <mc:Choice Requires="wps">
          <w:drawing>
            <wp:anchor distT="0" distB="0" distL="0" distR="0" simplePos="0" relativeHeight="251659264" behindDoc="0" locked="0" layoutInCell="1" allowOverlap="1" wp14:anchorId="7CC3A1ED" wp14:editId="69F60647">
              <wp:simplePos x="635" y="635"/>
              <wp:positionH relativeFrom="page">
                <wp:align>left</wp:align>
              </wp:positionH>
              <wp:positionV relativeFrom="page">
                <wp:align>bottom</wp:align>
              </wp:positionV>
              <wp:extent cx="1009015" cy="368300"/>
              <wp:effectExtent l="0" t="0" r="635" b="0"/>
              <wp:wrapNone/>
              <wp:docPr id="1910666093"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68300"/>
                      </a:xfrm>
                      <a:prstGeom prst="rect">
                        <a:avLst/>
                      </a:prstGeom>
                      <a:noFill/>
                      <a:ln>
                        <a:noFill/>
                      </a:ln>
                    </wps:spPr>
                    <wps:txbx>
                      <w:txbxContent>
                        <w:p w14:paraId="7A9BA60D" w14:textId="403E474B" w:rsidR="00D446B4" w:rsidRPr="00D446B4" w:rsidRDefault="00D446B4" w:rsidP="00D446B4">
                          <w:pPr>
                            <w:rPr>
                              <w:rFonts w:ascii="Aptos" w:eastAsia="Aptos" w:hAnsi="Aptos" w:cs="Aptos"/>
                              <w:noProof/>
                              <w:color w:val="000000"/>
                              <w:sz w:val="20"/>
                            </w:rPr>
                          </w:pPr>
                          <w:r w:rsidRPr="00D446B4">
                            <w:rPr>
                              <w:rFonts w:ascii="Aptos" w:eastAsia="Aptos" w:hAnsi="Aptos" w:cs="Aptos"/>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CC3A1ED" id="_x0000_t202" coordsize="21600,21600" o:spt="202" path="m,l,21600r21600,l21600,xe">
              <v:stroke joinstyle="miter"/>
              <v:path gradientshapeok="t" o:connecttype="rect"/>
            </v:shapetype>
            <v:shape id="Tekstvak 2" o:spid="_x0000_s1026" type="#_x0000_t202" alt="Intern gebruik" style="position:absolute;left:0;text-align:left;margin-left:0;margin-top:0;width:79.45pt;height:29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" filled="f" stroked="f">
              <v:textbox style="mso-fit-shape-to-text:t" inset="20pt,0,0,15pt">
                <w:txbxContent>
                  <w:p w14:paraId="7A9BA60D" w14:textId="403E474B" w:rsidR="00D446B4" w:rsidRPr="00D446B4" w:rsidRDefault="00D446B4" w:rsidP="00D446B4">
                    <w:pPr>
                      <w:rPr>
                        <w:rFonts w:ascii="Aptos" w:eastAsia="Aptos" w:hAnsi="Aptos" w:cs="Aptos"/>
                        <w:noProof/>
                        <w:color w:val="000000"/>
                        <w:sz w:val="20"/>
                      </w:rPr>
                    </w:pPr>
                    <w:r w:rsidRPr="00D446B4">
                      <w:rPr>
                        <w:rFonts w:ascii="Aptos" w:eastAsia="Aptos" w:hAnsi="Aptos" w:cs="Aptos"/>
                        <w:noProof/>
                        <w:color w:val="000000"/>
                        <w:sz w:val="20"/>
                      </w:rPr>
                      <w:t>Intern gebruik</w:t>
                    </w:r>
                  </w:p>
                </w:txbxContent>
              </v:textbox>
              <w10:wrap anchorx="page" anchory="page"/>
            </v:shape>
          </w:pict>
        </mc:Fallback>
      </mc:AlternateContent>
    </w:r>
    <w:r w:rsidR="00F54AFF">
      <w:rPr>
        <w:rStyle w:val="Paginanummer"/>
      </w:rPr>
      <w:fldChar w:fldCharType="begin"/>
    </w:r>
    <w:r w:rsidR="00F54AFF">
      <w:rPr>
        <w:rStyle w:val="Paginanummer"/>
      </w:rPr>
      <w:instrText xml:space="preserve">PAGE  </w:instrText>
    </w:r>
    <w:r w:rsidR="00F54AFF">
      <w:rPr>
        <w:rStyle w:val="Paginanummer"/>
      </w:rPr>
      <w:fldChar w:fldCharType="separate"/>
    </w:r>
    <w:r w:rsidR="00016B4C">
      <w:rPr>
        <w:rStyle w:val="Paginanummer"/>
        <w:noProof/>
      </w:rPr>
      <w:t>2</w:t>
    </w:r>
    <w:r w:rsidR="00F54AFF">
      <w:rPr>
        <w:rStyle w:val="Paginanummer"/>
      </w:rPr>
      <w:fldChar w:fldCharType="end"/>
    </w:r>
  </w:p>
  <w:p w14:paraId="0BEA4598" w14:textId="77777777" w:rsidR="00F54AFF" w:rsidRDefault="00F54AF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C1648" w14:textId="3AF2EF1F" w:rsidR="00F54AFF" w:rsidRDefault="00F54AFF">
    <w:pPr>
      <w:pStyle w:val="Voettekst"/>
    </w:pPr>
    <w:r>
      <w:fldChar w:fldCharType="begin"/>
    </w:r>
    <w:r>
      <w:instrText xml:space="preserve"> PAGE  \* LOWER </w:instrText>
    </w:r>
    <w:r>
      <w:fldChar w:fldCharType="separate"/>
    </w:r>
    <w:r w:rsidR="00DB2696">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EEE89" w14:textId="67140CE4" w:rsidR="00AC49B7" w:rsidRDefault="00D446B4">
    <w:pPr>
      <w:pStyle w:val="Voettekst"/>
    </w:pPr>
    <w:r>
      <w:rPr>
        <w:noProof/>
      </w:rPr>
      <mc:AlternateContent>
        <mc:Choice Requires="wps">
          <w:drawing>
            <wp:anchor distT="0" distB="0" distL="0" distR="0" simplePos="0" relativeHeight="251658240" behindDoc="0" locked="0" layoutInCell="1" allowOverlap="1" wp14:anchorId="073F640B" wp14:editId="79D4D16A">
              <wp:simplePos x="635" y="635"/>
              <wp:positionH relativeFrom="page">
                <wp:align>left</wp:align>
              </wp:positionH>
              <wp:positionV relativeFrom="page">
                <wp:align>bottom</wp:align>
              </wp:positionV>
              <wp:extent cx="1009015" cy="368300"/>
              <wp:effectExtent l="0" t="0" r="635" b="0"/>
              <wp:wrapNone/>
              <wp:docPr id="1040207323"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68300"/>
                      </a:xfrm>
                      <a:prstGeom prst="rect">
                        <a:avLst/>
                      </a:prstGeom>
                      <a:noFill/>
                      <a:ln>
                        <a:noFill/>
                      </a:ln>
                    </wps:spPr>
                    <wps:txbx>
                      <w:txbxContent>
                        <w:p w14:paraId="434AD011" w14:textId="281CE2E9" w:rsidR="00D446B4" w:rsidRPr="00D446B4" w:rsidRDefault="00D446B4" w:rsidP="00D446B4">
                          <w:pPr>
                            <w:rPr>
                              <w:rFonts w:ascii="Aptos" w:eastAsia="Aptos" w:hAnsi="Aptos" w:cs="Aptos"/>
                              <w:noProof/>
                              <w:color w:val="000000"/>
                              <w:sz w:val="20"/>
                            </w:rPr>
                          </w:pPr>
                          <w:r w:rsidRPr="00D446B4">
                            <w:rPr>
                              <w:rFonts w:ascii="Aptos" w:eastAsia="Aptos" w:hAnsi="Aptos" w:cs="Aptos"/>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73F640B" id="_x0000_t202" coordsize="21600,21600" o:spt="202" path="m,l,21600r21600,l21600,xe">
              <v:stroke joinstyle="miter"/>
              <v:path gradientshapeok="t" o:connecttype="rect"/>
            </v:shapetype>
            <v:shape id="Tekstvak 1" o:spid="_x0000_s1027" type="#_x0000_t202" alt="Intern gebruik" style="position:absolute;left:0;text-align:left;margin-left:0;margin-top:0;width:79.45pt;height:29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" filled="f" stroked="f">
              <v:textbox style="mso-fit-shape-to-text:t" inset="20pt,0,0,15pt">
                <w:txbxContent>
                  <w:p w14:paraId="434AD011" w14:textId="281CE2E9" w:rsidR="00D446B4" w:rsidRPr="00D446B4" w:rsidRDefault="00D446B4" w:rsidP="00D446B4">
                    <w:pPr>
                      <w:rPr>
                        <w:rFonts w:ascii="Aptos" w:eastAsia="Aptos" w:hAnsi="Aptos" w:cs="Aptos"/>
                        <w:noProof/>
                        <w:color w:val="000000"/>
                        <w:sz w:val="20"/>
                      </w:rPr>
                    </w:pPr>
                    <w:r w:rsidRPr="00D446B4">
                      <w:rPr>
                        <w:rFonts w:ascii="Aptos" w:eastAsia="Aptos" w:hAnsi="Aptos" w:cs="Aptos"/>
                        <w:noProof/>
                        <w:color w:val="000000"/>
                        <w:sz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5A708" w14:textId="77777777" w:rsidR="00992874" w:rsidRDefault="00992874">
      <w:r>
        <w:separator/>
      </w:r>
    </w:p>
  </w:footnote>
  <w:footnote w:type="continuationSeparator" w:id="0">
    <w:p w14:paraId="42DE7E1C" w14:textId="77777777" w:rsidR="00992874" w:rsidRDefault="00992874">
      <w:r>
        <w:continuationSeparator/>
      </w:r>
    </w:p>
  </w:footnote>
  <w:footnote w:id="1">
    <w:p w14:paraId="0B355127" w14:textId="517DD0D7" w:rsidR="007C5D5E" w:rsidRPr="00AD596C" w:rsidRDefault="007C5D5E">
      <w:pPr>
        <w:pStyle w:val="Voetnoottekst"/>
        <w:rPr>
          <w:rFonts w:ascii="Verdana" w:hAnsi="Verdana"/>
          <w:sz w:val="16"/>
          <w:szCs w:val="16"/>
        </w:rPr>
      </w:pPr>
      <w:r w:rsidRPr="00AD596C">
        <w:rPr>
          <w:rStyle w:val="Voetnootmarkering"/>
          <w:rFonts w:ascii="Verdana" w:hAnsi="Verdana"/>
          <w:sz w:val="16"/>
          <w:szCs w:val="16"/>
        </w:rPr>
        <w:footnoteRef/>
      </w:r>
      <w:r w:rsidRPr="00AD596C">
        <w:rPr>
          <w:rFonts w:ascii="Verdana" w:hAnsi="Verdana"/>
          <w:sz w:val="16"/>
          <w:szCs w:val="16"/>
        </w:rPr>
        <w:t xml:space="preserve"> </w:t>
      </w:r>
      <w:r w:rsidR="00442101" w:rsidRPr="00AD596C">
        <w:rPr>
          <w:rFonts w:ascii="Verdana" w:hAnsi="Verdana"/>
          <w:sz w:val="16"/>
          <w:szCs w:val="16"/>
        </w:rPr>
        <w:t>MFK 2028-2034 voorstellen Europese Commissie (2025)</w:t>
      </w:r>
      <w:r w:rsidR="006315D8" w:rsidRPr="00AD596C">
        <w:rPr>
          <w:rFonts w:ascii="Verdana" w:hAnsi="Verdana"/>
          <w:sz w:val="16"/>
          <w:szCs w:val="16"/>
        </w:rPr>
        <w:t xml:space="preserve"> </w:t>
      </w:r>
      <w:hyperlink r:id="rId1" w:history="1">
        <w:r w:rsidR="006315D8" w:rsidRPr="00AD596C">
          <w:rPr>
            <w:rStyle w:val="Hyperlink"/>
            <w:rFonts w:ascii="Verdana" w:hAnsi="Verdana"/>
            <w:sz w:val="16"/>
            <w:szCs w:val="16"/>
          </w:rPr>
          <w:t>https://commission.europa.eu/publications/multiannual-financial-framework_en</w:t>
        </w:r>
      </w:hyperlink>
      <w:r w:rsidR="006315D8" w:rsidRPr="00AD596C">
        <w:rPr>
          <w:rFonts w:ascii="Verdana" w:hAnsi="Verdana"/>
          <w:sz w:val="16"/>
          <w:szCs w:val="16"/>
        </w:rPr>
        <w:t xml:space="preserve"> </w:t>
      </w:r>
    </w:p>
  </w:footnote>
  <w:footnote w:id="2">
    <w:p w14:paraId="16F7635D" w14:textId="77777777" w:rsidR="00CB468F" w:rsidRPr="00BB1F83" w:rsidRDefault="00CB468F" w:rsidP="00CB468F">
      <w:pPr>
        <w:pStyle w:val="Voetnoottekst"/>
        <w:rPr>
          <w:rFonts w:ascii="Verdana" w:hAnsi="Verdana"/>
          <w:sz w:val="16"/>
          <w:szCs w:val="16"/>
        </w:rPr>
      </w:pPr>
      <w:r w:rsidRPr="00990990">
        <w:rPr>
          <w:rStyle w:val="Voetnootmarkering"/>
          <w:rFonts w:ascii="Verdana" w:hAnsi="Verdana"/>
          <w:sz w:val="16"/>
          <w:szCs w:val="16"/>
        </w:rPr>
        <w:footnoteRef/>
      </w:r>
      <w:r w:rsidRPr="00990990">
        <w:rPr>
          <w:rFonts w:ascii="Verdana" w:hAnsi="Verdana"/>
          <w:sz w:val="16"/>
          <w:szCs w:val="16"/>
        </w:rPr>
        <w:t xml:space="preserve"> </w:t>
      </w:r>
      <w:r w:rsidRPr="00BB1F83">
        <w:rPr>
          <w:rFonts w:ascii="Verdana" w:hAnsi="Verdana"/>
          <w:sz w:val="16"/>
          <w:szCs w:val="16"/>
        </w:rPr>
        <w:t>HOME-fondsen zien op de uitvoering van het gemeenschappelijk migratiebeleid van de Unie, het beschermen en versterken van het Schengengebied en haar buitengrenzen, de versterking van het gemeenschappelijk EU-visumbeleid en de bescherming van de interne veiligheid van de EU</w:t>
      </w:r>
    </w:p>
  </w:footnote>
  <w:footnote w:id="3">
    <w:p w14:paraId="54C80CC8" w14:textId="1C2DA957" w:rsidR="007F1195" w:rsidRPr="00990990" w:rsidRDefault="007F1195">
      <w:pPr>
        <w:pStyle w:val="Voetnoottekst"/>
        <w:rPr>
          <w:rFonts w:ascii="Verdana" w:hAnsi="Verdana"/>
          <w:sz w:val="16"/>
          <w:szCs w:val="16"/>
        </w:rPr>
      </w:pPr>
      <w:r w:rsidRPr="00BB1F83">
        <w:rPr>
          <w:rStyle w:val="Voetnootmarkering"/>
          <w:rFonts w:ascii="Verdana" w:hAnsi="Verdana"/>
          <w:sz w:val="16"/>
          <w:szCs w:val="16"/>
        </w:rPr>
        <w:footnoteRef/>
      </w:r>
      <w:r w:rsidRPr="00BB1F83">
        <w:rPr>
          <w:rFonts w:ascii="Verdana" w:hAnsi="Verdana"/>
          <w:sz w:val="16"/>
          <w:szCs w:val="16"/>
        </w:rPr>
        <w:t xml:space="preserve"> Kamerstuk 23987, nr. 412</w:t>
      </w:r>
    </w:p>
  </w:footnote>
  <w:footnote w:id="4">
    <w:p w14:paraId="67B3E1FE" w14:textId="25035020" w:rsidR="007C5D02" w:rsidRPr="00990990" w:rsidRDefault="007C5D02">
      <w:pPr>
        <w:pStyle w:val="Voetnoottekst"/>
        <w:rPr>
          <w:rFonts w:ascii="Verdana" w:hAnsi="Verdana"/>
          <w:sz w:val="16"/>
          <w:szCs w:val="16"/>
        </w:rPr>
      </w:pPr>
      <w:r w:rsidRPr="00990990">
        <w:rPr>
          <w:rStyle w:val="Voetnootmarkering"/>
          <w:rFonts w:ascii="Verdana" w:hAnsi="Verdana"/>
          <w:sz w:val="16"/>
          <w:szCs w:val="16"/>
        </w:rPr>
        <w:footnoteRef/>
      </w:r>
      <w:r w:rsidRPr="00990990">
        <w:rPr>
          <w:rFonts w:ascii="Verdana" w:hAnsi="Verdana"/>
          <w:sz w:val="16"/>
          <w:szCs w:val="16"/>
        </w:rPr>
        <w:t xml:space="preserve"> Kamerstuk 23987, nr. 398</w:t>
      </w:r>
    </w:p>
  </w:footnote>
  <w:footnote w:id="5">
    <w:p w14:paraId="0A85B37F" w14:textId="2716192A" w:rsidR="00FB7BCA" w:rsidRPr="00990990" w:rsidRDefault="00FB7BCA">
      <w:pPr>
        <w:pStyle w:val="Voetnoottekst"/>
        <w:rPr>
          <w:rFonts w:ascii="Verdana" w:hAnsi="Verdana"/>
          <w:sz w:val="16"/>
          <w:szCs w:val="16"/>
        </w:rPr>
      </w:pPr>
      <w:r w:rsidRPr="00990990">
        <w:rPr>
          <w:rStyle w:val="Voetnootmarkering"/>
          <w:rFonts w:ascii="Verdana" w:hAnsi="Verdana"/>
          <w:sz w:val="16"/>
          <w:szCs w:val="16"/>
        </w:rPr>
        <w:footnoteRef/>
      </w:r>
      <w:r w:rsidRPr="00990990">
        <w:rPr>
          <w:rFonts w:ascii="Verdana" w:hAnsi="Verdana"/>
          <w:sz w:val="16"/>
          <w:szCs w:val="16"/>
        </w:rPr>
        <w:t xml:space="preserve"> Kamerstuk 22 112, nr. 4357</w:t>
      </w:r>
    </w:p>
  </w:footnote>
  <w:footnote w:id="6">
    <w:p w14:paraId="4B5452E1" w14:textId="77777777" w:rsidR="005B2340" w:rsidRPr="007E66D7" w:rsidRDefault="005B2340" w:rsidP="005B2340">
      <w:pPr>
        <w:pStyle w:val="Voetnoottekst"/>
        <w:rPr>
          <w:rFonts w:ascii="Verdana" w:hAnsi="Verdana"/>
          <w:sz w:val="14"/>
          <w:szCs w:val="14"/>
        </w:rPr>
      </w:pPr>
      <w:r w:rsidRPr="00AD596C">
        <w:rPr>
          <w:rStyle w:val="Voetnootmarkering"/>
          <w:rFonts w:ascii="Verdana" w:hAnsi="Verdana"/>
          <w:sz w:val="16"/>
          <w:szCs w:val="16"/>
        </w:rPr>
        <w:footnoteRef/>
      </w:r>
      <w:r w:rsidRPr="00AD596C">
        <w:rPr>
          <w:rFonts w:ascii="Verdana" w:hAnsi="Verdana"/>
          <w:sz w:val="16"/>
          <w:szCs w:val="16"/>
        </w:rPr>
        <w:t xml:space="preserve"> </w:t>
      </w:r>
      <w:r w:rsidRPr="00A15DF3">
        <w:rPr>
          <w:rFonts w:ascii="Verdana" w:hAnsi="Verdana"/>
          <w:sz w:val="16"/>
          <w:szCs w:val="16"/>
        </w:rPr>
        <w:t>Dit volgt uit het arrest van het EU-Hof in de zaak C-157/21 (Hongarije/Europees Parlement en Raad).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EA4F1" w14:textId="625CFE67" w:rsidR="00AC49B7" w:rsidRPr="00EA4C91" w:rsidRDefault="00AC49B7" w:rsidP="00EA4C91">
    <w:pPr>
      <w:pStyle w:val="Koptekst"/>
      <w:jc w:val="right"/>
      <w:rPr>
        <w:rFonts w:ascii="Verdana" w:hAnsi="Verdana"/>
        <w:b/>
        <w:sz w:val="18"/>
        <w:szCs w:val="18"/>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Kop1"/>
      <w:lvlText w:val="%1"/>
      <w:legacy w:legacy="1" w:legacySpace="284" w:legacyIndent="0"/>
      <w:lvlJc w:val="left"/>
      <w:rPr>
        <w:rFonts w:ascii="Tms Rmn" w:hAnsi="Tms Rmn" w:hint="default"/>
        <w:b w:val="0"/>
        <w:i w:val="0"/>
        <w:strike w:val="0"/>
        <w:u w:val="none"/>
      </w:rPr>
    </w:lvl>
    <w:lvl w:ilvl="1">
      <w:start w:val="1"/>
      <w:numFmt w:val="decimal"/>
      <w:pStyle w:val="Kop2"/>
      <w:lvlText w:val="%1.%2"/>
      <w:legacy w:legacy="1" w:legacySpace="284" w:legacyIndent="0"/>
      <w:lvlJc w:val="left"/>
      <w:rPr>
        <w:rFonts w:ascii="Tms Rmn" w:hAnsi="Tms Rmn" w:hint="default"/>
        <w:b w:val="0"/>
        <w:i w:val="0"/>
        <w:strike w:val="0"/>
        <w:u w:val="none"/>
      </w:rPr>
    </w:lvl>
    <w:lvl w:ilvl="2">
      <w:start w:val="1"/>
      <w:numFmt w:val="decimal"/>
      <w:pStyle w:val="Kop3"/>
      <w:lvlText w:val="%1.%2.%3"/>
      <w:legacy w:legacy="1" w:legacySpace="284" w:legacyIndent="0"/>
      <w:lvlJc w:val="left"/>
      <w:rPr>
        <w:rFonts w:ascii="Tms Rmn" w:hAnsi="Tms Rmn" w:hint="default"/>
        <w:b w:val="0"/>
        <w:i w:val="0"/>
        <w:strike w:val="0"/>
        <w:u w:val="none"/>
      </w:rPr>
    </w:lvl>
    <w:lvl w:ilvl="3">
      <w:numFmt w:val="none"/>
      <w:pStyle w:val="Kop4"/>
      <w:suff w:val="nothing"/>
      <w:lvlText w:val=""/>
      <w:lvlJc w:val="left"/>
      <w:rPr>
        <w:rFonts w:ascii="Tms Rmn" w:hAnsi="Tms Rmn" w:hint="default"/>
        <w:b w:val="0"/>
        <w:i w:val="0"/>
        <w:strike w:val="0"/>
        <w:u w:val="none"/>
      </w:rPr>
    </w:lvl>
    <w:lvl w:ilvl="4">
      <w:start w:val="1"/>
      <w:numFmt w:val="decimal"/>
      <w:pStyle w:val="Kop5"/>
      <w:lvlText w:val="(%5)"/>
      <w:legacy w:legacy="1" w:legacySpace="0" w:legacyIndent="708"/>
      <w:lvlJc w:val="left"/>
      <w:pPr>
        <w:ind w:left="708" w:hanging="708"/>
      </w:pPr>
    </w:lvl>
    <w:lvl w:ilvl="5">
      <w:start w:val="1"/>
      <w:numFmt w:val="lowerLetter"/>
      <w:pStyle w:val="Kop6"/>
      <w:lvlText w:val="(%6)"/>
      <w:legacy w:legacy="1" w:legacySpace="0" w:legacyIndent="708"/>
      <w:lvlJc w:val="left"/>
      <w:pPr>
        <w:ind w:left="1416" w:hanging="708"/>
      </w:pPr>
    </w:lvl>
    <w:lvl w:ilvl="6">
      <w:start w:val="1"/>
      <w:numFmt w:val="lowerRoman"/>
      <w:pStyle w:val="Kop7"/>
      <w:lvlText w:val="(%7)"/>
      <w:legacy w:legacy="1" w:legacySpace="0" w:legacyIndent="708"/>
      <w:lvlJc w:val="left"/>
      <w:pPr>
        <w:ind w:left="2124" w:hanging="708"/>
      </w:pPr>
    </w:lvl>
    <w:lvl w:ilvl="7">
      <w:start w:val="1"/>
      <w:numFmt w:val="lowerLetter"/>
      <w:pStyle w:val="Kop8"/>
      <w:lvlText w:val="(%8)"/>
      <w:legacy w:legacy="1" w:legacySpace="0" w:legacyIndent="708"/>
      <w:lvlJc w:val="left"/>
      <w:pPr>
        <w:ind w:left="2832" w:hanging="708"/>
      </w:pPr>
    </w:lvl>
    <w:lvl w:ilvl="8">
      <w:start w:val="1"/>
      <w:numFmt w:val="lowerRoman"/>
      <w:pStyle w:val="Kop9"/>
      <w:lvlText w:val="(%9)"/>
      <w:legacy w:legacy="1" w:legacySpace="0" w:legacyIndent="708"/>
      <w:lvlJc w:val="left"/>
      <w:pPr>
        <w:ind w:left="3540" w:hanging="708"/>
      </w:pPr>
    </w:lvl>
  </w:abstractNum>
  <w:abstractNum w:abstractNumId="1" w15:restartNumberingAfterBreak="0">
    <w:nsid w:val="0D3A19E9"/>
    <w:multiLevelType w:val="hybridMultilevel"/>
    <w:tmpl w:val="D2D840CC"/>
    <w:lvl w:ilvl="0" w:tplc="04130011">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E784166"/>
    <w:multiLevelType w:val="hybridMultilevel"/>
    <w:tmpl w:val="D102C374"/>
    <w:lvl w:ilvl="0" w:tplc="AAF03966">
      <w:start w:val="1"/>
      <w:numFmt w:val="lowerLetter"/>
      <w:lvlText w:val="%1)"/>
      <w:lvlJc w:val="left"/>
      <w:pPr>
        <w:ind w:left="360" w:hanging="360"/>
      </w:pPr>
      <w:rPr>
        <w:rFonts w:ascii="Verdana" w:hAnsi="Verdana" w:hint="default"/>
        <w:i/>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64A467A"/>
    <w:multiLevelType w:val="hybridMultilevel"/>
    <w:tmpl w:val="6C22C40E"/>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65577A7"/>
    <w:multiLevelType w:val="hybridMultilevel"/>
    <w:tmpl w:val="48C0538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1F930B82"/>
    <w:multiLevelType w:val="multilevel"/>
    <w:tmpl w:val="3B42C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424CA7"/>
    <w:multiLevelType w:val="hybridMultilevel"/>
    <w:tmpl w:val="CD40977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5E27C27"/>
    <w:multiLevelType w:val="hybridMultilevel"/>
    <w:tmpl w:val="001EFEB6"/>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304055AC"/>
    <w:multiLevelType w:val="hybridMultilevel"/>
    <w:tmpl w:val="DD8E0E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4E60BAD"/>
    <w:multiLevelType w:val="hybridMultilevel"/>
    <w:tmpl w:val="2828D4B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62B59E3"/>
    <w:multiLevelType w:val="hybridMultilevel"/>
    <w:tmpl w:val="345E7D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33205C0"/>
    <w:multiLevelType w:val="hybridMultilevel"/>
    <w:tmpl w:val="06FC520A"/>
    <w:lvl w:ilvl="0" w:tplc="04130017">
      <w:start w:val="2"/>
      <w:numFmt w:val="decimal"/>
      <w:lvlText w:val="%1."/>
      <w:lvlJc w:val="left"/>
      <w:pPr>
        <w:tabs>
          <w:tab w:val="num" w:pos="3420"/>
        </w:tabs>
        <w:ind w:left="3420" w:hanging="3060"/>
      </w:pPr>
      <w:rPr>
        <w:rFonts w:hint="default"/>
        <w:b/>
        <w:i w:val="0"/>
      </w:rPr>
    </w:lvl>
    <w:lvl w:ilvl="1" w:tplc="0413000F"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4E2E10A0"/>
    <w:multiLevelType w:val="hybridMultilevel"/>
    <w:tmpl w:val="35DE0876"/>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54E0546F"/>
    <w:multiLevelType w:val="hybridMultilevel"/>
    <w:tmpl w:val="ED6C03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01F4847"/>
    <w:multiLevelType w:val="hybridMultilevel"/>
    <w:tmpl w:val="A918879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646E2261"/>
    <w:multiLevelType w:val="hybridMultilevel"/>
    <w:tmpl w:val="585C47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5F81549"/>
    <w:multiLevelType w:val="hybridMultilevel"/>
    <w:tmpl w:val="76B43EAC"/>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67794FA9"/>
    <w:multiLevelType w:val="hybridMultilevel"/>
    <w:tmpl w:val="29D2BB7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67E04376"/>
    <w:multiLevelType w:val="hybridMultilevel"/>
    <w:tmpl w:val="8698D53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D9A7208"/>
    <w:multiLevelType w:val="hybridMultilevel"/>
    <w:tmpl w:val="3DCC2F36"/>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72F14C24"/>
    <w:multiLevelType w:val="hybridMultilevel"/>
    <w:tmpl w:val="FADA25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75807088"/>
    <w:multiLevelType w:val="hybridMultilevel"/>
    <w:tmpl w:val="2A742B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78FF33D9"/>
    <w:multiLevelType w:val="hybridMultilevel"/>
    <w:tmpl w:val="ED628B70"/>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7C481BF2"/>
    <w:multiLevelType w:val="hybridMultilevel"/>
    <w:tmpl w:val="3FFE4F6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7D1328A3"/>
    <w:multiLevelType w:val="hybridMultilevel"/>
    <w:tmpl w:val="4612A2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E665595"/>
    <w:multiLevelType w:val="hybridMultilevel"/>
    <w:tmpl w:val="EDE4C9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89805035">
    <w:abstractNumId w:val="0"/>
  </w:num>
  <w:num w:numId="2" w16cid:durableId="1479568792">
    <w:abstractNumId w:val="11"/>
  </w:num>
  <w:num w:numId="3" w16cid:durableId="1000962754">
    <w:abstractNumId w:val="1"/>
  </w:num>
  <w:num w:numId="4" w16cid:durableId="980813417">
    <w:abstractNumId w:val="24"/>
  </w:num>
  <w:num w:numId="5" w16cid:durableId="703480320">
    <w:abstractNumId w:val="17"/>
  </w:num>
  <w:num w:numId="6" w16cid:durableId="928080238">
    <w:abstractNumId w:val="15"/>
  </w:num>
  <w:num w:numId="7" w16cid:durableId="405685423">
    <w:abstractNumId w:val="7"/>
  </w:num>
  <w:num w:numId="8" w16cid:durableId="292297205">
    <w:abstractNumId w:val="18"/>
  </w:num>
  <w:num w:numId="9" w16cid:durableId="1211502451">
    <w:abstractNumId w:val="9"/>
  </w:num>
  <w:num w:numId="10" w16cid:durableId="1936086142">
    <w:abstractNumId w:val="2"/>
  </w:num>
  <w:num w:numId="11" w16cid:durableId="969239598">
    <w:abstractNumId w:val="6"/>
  </w:num>
  <w:num w:numId="12" w16cid:durableId="784422866">
    <w:abstractNumId w:val="10"/>
  </w:num>
  <w:num w:numId="13" w16cid:durableId="1527988388">
    <w:abstractNumId w:val="21"/>
  </w:num>
  <w:num w:numId="14" w16cid:durableId="1887570556">
    <w:abstractNumId w:val="23"/>
  </w:num>
  <w:num w:numId="15" w16cid:durableId="1042710396">
    <w:abstractNumId w:val="14"/>
  </w:num>
  <w:num w:numId="16" w16cid:durableId="585384282">
    <w:abstractNumId w:val="20"/>
  </w:num>
  <w:num w:numId="17" w16cid:durableId="274487019">
    <w:abstractNumId w:val="13"/>
  </w:num>
  <w:num w:numId="18" w16cid:durableId="855581844">
    <w:abstractNumId w:val="3"/>
  </w:num>
  <w:num w:numId="19" w16cid:durableId="343434521">
    <w:abstractNumId w:val="22"/>
  </w:num>
  <w:num w:numId="20" w16cid:durableId="1557816596">
    <w:abstractNumId w:val="25"/>
  </w:num>
  <w:num w:numId="21" w16cid:durableId="1801417599">
    <w:abstractNumId w:val="16"/>
  </w:num>
  <w:num w:numId="22" w16cid:durableId="1286231430">
    <w:abstractNumId w:val="12"/>
  </w:num>
  <w:num w:numId="23" w16cid:durableId="788862393">
    <w:abstractNumId w:val="5"/>
  </w:num>
  <w:num w:numId="24" w16cid:durableId="1947735004">
    <w:abstractNumId w:val="19"/>
  </w:num>
  <w:num w:numId="25" w16cid:durableId="721052370">
    <w:abstractNumId w:val="4"/>
  </w:num>
  <w:num w:numId="26" w16cid:durableId="1722050693">
    <w:abstractNumId w:val="4"/>
  </w:num>
  <w:num w:numId="27" w16cid:durableId="3490680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antalTreden" w:val=" 2"/>
    <w:docVar w:name="Small" w:val=" 0"/>
    <w:docVar w:name="SoortNum" w:val=" 1"/>
    <w:docVar w:name="wtRelease TemplateAuthor" w:val="Ivar Fennema"/>
    <w:docVar w:name="wtRelease TemplateCreatedBy" w:val="Winthesis - Hoofddorp"/>
    <w:docVar w:name="wtRelease TemplateCreatedFor" w:val="Ministerie van Economische Zaken"/>
    <w:docVar w:name="wtRelease TemplateDate" w:val="9 januari 1996"/>
    <w:docVar w:name="wtRelease TemplateName" w:val="Blanco"/>
    <w:docVar w:name="wtRelease TemplateRevision" w:val="3.0.3"/>
    <w:docVar w:name="wtRelease TemplateRevMajor" w:val="3"/>
    <w:docVar w:name="wtRelease TemplateRevMinor" w:val="0"/>
    <w:docVar w:name="wtRelease TemplateRevRev" w:val="3"/>
  </w:docVars>
  <w:rsids>
    <w:rsidRoot w:val="00FB216B"/>
    <w:rsid w:val="00001716"/>
    <w:rsid w:val="00003349"/>
    <w:rsid w:val="00006A5C"/>
    <w:rsid w:val="00012FA6"/>
    <w:rsid w:val="0001467F"/>
    <w:rsid w:val="000148E4"/>
    <w:rsid w:val="00016B4C"/>
    <w:rsid w:val="00025B27"/>
    <w:rsid w:val="00027AED"/>
    <w:rsid w:val="000377B6"/>
    <w:rsid w:val="000434C0"/>
    <w:rsid w:val="0005378C"/>
    <w:rsid w:val="0006250F"/>
    <w:rsid w:val="00066C36"/>
    <w:rsid w:val="00071F9B"/>
    <w:rsid w:val="00080196"/>
    <w:rsid w:val="00080D36"/>
    <w:rsid w:val="000836CC"/>
    <w:rsid w:val="00095DC8"/>
    <w:rsid w:val="000A2DB5"/>
    <w:rsid w:val="000A42D6"/>
    <w:rsid w:val="000C4D7C"/>
    <w:rsid w:val="000D01B7"/>
    <w:rsid w:val="000D3FDD"/>
    <w:rsid w:val="000D4C9D"/>
    <w:rsid w:val="000E2046"/>
    <w:rsid w:val="00110AA7"/>
    <w:rsid w:val="00113A68"/>
    <w:rsid w:val="00113DF4"/>
    <w:rsid w:val="00115A20"/>
    <w:rsid w:val="00116762"/>
    <w:rsid w:val="00120712"/>
    <w:rsid w:val="0012782F"/>
    <w:rsid w:val="001502AE"/>
    <w:rsid w:val="00164D1E"/>
    <w:rsid w:val="0017031A"/>
    <w:rsid w:val="001761C8"/>
    <w:rsid w:val="00176A68"/>
    <w:rsid w:val="00180356"/>
    <w:rsid w:val="001810FA"/>
    <w:rsid w:val="00181C92"/>
    <w:rsid w:val="001914D3"/>
    <w:rsid w:val="00193432"/>
    <w:rsid w:val="001A0478"/>
    <w:rsid w:val="001A40EA"/>
    <w:rsid w:val="001A6D9A"/>
    <w:rsid w:val="001B1516"/>
    <w:rsid w:val="001B3626"/>
    <w:rsid w:val="001B762F"/>
    <w:rsid w:val="001D2CD5"/>
    <w:rsid w:val="001D558D"/>
    <w:rsid w:val="001E0F97"/>
    <w:rsid w:val="001E2786"/>
    <w:rsid w:val="001F7730"/>
    <w:rsid w:val="00200A0B"/>
    <w:rsid w:val="0020223E"/>
    <w:rsid w:val="00213BE3"/>
    <w:rsid w:val="00241278"/>
    <w:rsid w:val="00246C8B"/>
    <w:rsid w:val="00251118"/>
    <w:rsid w:val="002562CB"/>
    <w:rsid w:val="00260046"/>
    <w:rsid w:val="00263B88"/>
    <w:rsid w:val="00265F45"/>
    <w:rsid w:val="00275415"/>
    <w:rsid w:val="002771F4"/>
    <w:rsid w:val="002806E5"/>
    <w:rsid w:val="00285DF6"/>
    <w:rsid w:val="00290A27"/>
    <w:rsid w:val="0029146C"/>
    <w:rsid w:val="002918F8"/>
    <w:rsid w:val="002964F3"/>
    <w:rsid w:val="002C1107"/>
    <w:rsid w:val="002D136B"/>
    <w:rsid w:val="002D309F"/>
    <w:rsid w:val="002D395F"/>
    <w:rsid w:val="002D7EAF"/>
    <w:rsid w:val="002E6D66"/>
    <w:rsid w:val="002F2913"/>
    <w:rsid w:val="002F628A"/>
    <w:rsid w:val="002F63A8"/>
    <w:rsid w:val="002F662B"/>
    <w:rsid w:val="00305F82"/>
    <w:rsid w:val="00341002"/>
    <w:rsid w:val="00344375"/>
    <w:rsid w:val="00345971"/>
    <w:rsid w:val="00347E36"/>
    <w:rsid w:val="00353AB6"/>
    <w:rsid w:val="0037673F"/>
    <w:rsid w:val="00384B2B"/>
    <w:rsid w:val="00385C19"/>
    <w:rsid w:val="003A0D3C"/>
    <w:rsid w:val="003A4EC2"/>
    <w:rsid w:val="003C40B5"/>
    <w:rsid w:val="003C4F9C"/>
    <w:rsid w:val="003D7F1A"/>
    <w:rsid w:val="003E4DF6"/>
    <w:rsid w:val="003E6E9E"/>
    <w:rsid w:val="003F7910"/>
    <w:rsid w:val="00404F48"/>
    <w:rsid w:val="00413BCB"/>
    <w:rsid w:val="00417D62"/>
    <w:rsid w:val="0042062B"/>
    <w:rsid w:val="00421376"/>
    <w:rsid w:val="00423112"/>
    <w:rsid w:val="00423FD7"/>
    <w:rsid w:val="00433C5C"/>
    <w:rsid w:val="00442101"/>
    <w:rsid w:val="00447944"/>
    <w:rsid w:val="004516A3"/>
    <w:rsid w:val="004847BE"/>
    <w:rsid w:val="00486BDA"/>
    <w:rsid w:val="004A19D9"/>
    <w:rsid w:val="004A2E69"/>
    <w:rsid w:val="004B22FC"/>
    <w:rsid w:val="004C7682"/>
    <w:rsid w:val="004D1661"/>
    <w:rsid w:val="004D5B06"/>
    <w:rsid w:val="004E737E"/>
    <w:rsid w:val="004F2279"/>
    <w:rsid w:val="004F678F"/>
    <w:rsid w:val="0051349A"/>
    <w:rsid w:val="00513C1E"/>
    <w:rsid w:val="005263B1"/>
    <w:rsid w:val="0052704B"/>
    <w:rsid w:val="00527CF3"/>
    <w:rsid w:val="00533A4B"/>
    <w:rsid w:val="005400B4"/>
    <w:rsid w:val="00543324"/>
    <w:rsid w:val="00543F2A"/>
    <w:rsid w:val="00547F09"/>
    <w:rsid w:val="00550480"/>
    <w:rsid w:val="0056434C"/>
    <w:rsid w:val="0059433E"/>
    <w:rsid w:val="005A12F2"/>
    <w:rsid w:val="005A4D45"/>
    <w:rsid w:val="005A798A"/>
    <w:rsid w:val="005B2340"/>
    <w:rsid w:val="005B75A2"/>
    <w:rsid w:val="005C0BE7"/>
    <w:rsid w:val="005E6933"/>
    <w:rsid w:val="00605B43"/>
    <w:rsid w:val="00605D7B"/>
    <w:rsid w:val="00612D2E"/>
    <w:rsid w:val="006135CD"/>
    <w:rsid w:val="00625654"/>
    <w:rsid w:val="006259E4"/>
    <w:rsid w:val="006315D8"/>
    <w:rsid w:val="00634349"/>
    <w:rsid w:val="0064006A"/>
    <w:rsid w:val="0064352A"/>
    <w:rsid w:val="006476A2"/>
    <w:rsid w:val="006515A6"/>
    <w:rsid w:val="0065626E"/>
    <w:rsid w:val="00663978"/>
    <w:rsid w:val="00676C19"/>
    <w:rsid w:val="006810FB"/>
    <w:rsid w:val="006813E6"/>
    <w:rsid w:val="00683E89"/>
    <w:rsid w:val="006916A7"/>
    <w:rsid w:val="006929AB"/>
    <w:rsid w:val="006A2815"/>
    <w:rsid w:val="006A4D70"/>
    <w:rsid w:val="006B030E"/>
    <w:rsid w:val="006B34AE"/>
    <w:rsid w:val="006E7C5E"/>
    <w:rsid w:val="006F61C0"/>
    <w:rsid w:val="006F6A70"/>
    <w:rsid w:val="00701C62"/>
    <w:rsid w:val="007055FF"/>
    <w:rsid w:val="00724E07"/>
    <w:rsid w:val="00725E8B"/>
    <w:rsid w:val="00742156"/>
    <w:rsid w:val="00742D26"/>
    <w:rsid w:val="0074401E"/>
    <w:rsid w:val="00761FFB"/>
    <w:rsid w:val="00786711"/>
    <w:rsid w:val="007A526E"/>
    <w:rsid w:val="007B1A29"/>
    <w:rsid w:val="007B27C0"/>
    <w:rsid w:val="007B540B"/>
    <w:rsid w:val="007B666C"/>
    <w:rsid w:val="007C06C2"/>
    <w:rsid w:val="007C586A"/>
    <w:rsid w:val="007C5D02"/>
    <w:rsid w:val="007C5D5E"/>
    <w:rsid w:val="007C7955"/>
    <w:rsid w:val="007D3EF0"/>
    <w:rsid w:val="007E16EB"/>
    <w:rsid w:val="007F01E7"/>
    <w:rsid w:val="007F1195"/>
    <w:rsid w:val="00811FF3"/>
    <w:rsid w:val="00847822"/>
    <w:rsid w:val="008528D9"/>
    <w:rsid w:val="0086149A"/>
    <w:rsid w:val="00862967"/>
    <w:rsid w:val="00880366"/>
    <w:rsid w:val="00881F26"/>
    <w:rsid w:val="008A309F"/>
    <w:rsid w:val="008A64D2"/>
    <w:rsid w:val="008B0009"/>
    <w:rsid w:val="008C76A1"/>
    <w:rsid w:val="008D3962"/>
    <w:rsid w:val="008D6F4B"/>
    <w:rsid w:val="008E6D0D"/>
    <w:rsid w:val="008F0341"/>
    <w:rsid w:val="008F1D50"/>
    <w:rsid w:val="008F5D04"/>
    <w:rsid w:val="009039EF"/>
    <w:rsid w:val="00904527"/>
    <w:rsid w:val="009277C9"/>
    <w:rsid w:val="00934D3C"/>
    <w:rsid w:val="00935DEE"/>
    <w:rsid w:val="0094398D"/>
    <w:rsid w:val="00944274"/>
    <w:rsid w:val="00945DBD"/>
    <w:rsid w:val="0094625E"/>
    <w:rsid w:val="00954C75"/>
    <w:rsid w:val="00986C8F"/>
    <w:rsid w:val="009875C5"/>
    <w:rsid w:val="00990990"/>
    <w:rsid w:val="009921CE"/>
    <w:rsid w:val="00992874"/>
    <w:rsid w:val="00995E17"/>
    <w:rsid w:val="009A0E24"/>
    <w:rsid w:val="009A2407"/>
    <w:rsid w:val="009A5F11"/>
    <w:rsid w:val="009A722E"/>
    <w:rsid w:val="009B3EED"/>
    <w:rsid w:val="009B6DF2"/>
    <w:rsid w:val="009C729B"/>
    <w:rsid w:val="009D6BD5"/>
    <w:rsid w:val="009F047B"/>
    <w:rsid w:val="009F2972"/>
    <w:rsid w:val="00A02D35"/>
    <w:rsid w:val="00A048B7"/>
    <w:rsid w:val="00A10605"/>
    <w:rsid w:val="00A12239"/>
    <w:rsid w:val="00A13435"/>
    <w:rsid w:val="00A15DF3"/>
    <w:rsid w:val="00A21B6F"/>
    <w:rsid w:val="00A44625"/>
    <w:rsid w:val="00A450CE"/>
    <w:rsid w:val="00A4642B"/>
    <w:rsid w:val="00A5049F"/>
    <w:rsid w:val="00A549ED"/>
    <w:rsid w:val="00A57FAE"/>
    <w:rsid w:val="00A76194"/>
    <w:rsid w:val="00A80FDE"/>
    <w:rsid w:val="00A85EA4"/>
    <w:rsid w:val="00A933CD"/>
    <w:rsid w:val="00A9570C"/>
    <w:rsid w:val="00AA16FA"/>
    <w:rsid w:val="00AB0F8D"/>
    <w:rsid w:val="00AB1DBE"/>
    <w:rsid w:val="00AC06D2"/>
    <w:rsid w:val="00AC0765"/>
    <w:rsid w:val="00AC49B7"/>
    <w:rsid w:val="00AD4E3C"/>
    <w:rsid w:val="00AD596C"/>
    <w:rsid w:val="00AD73F3"/>
    <w:rsid w:val="00AE077D"/>
    <w:rsid w:val="00AF33BD"/>
    <w:rsid w:val="00AF72A3"/>
    <w:rsid w:val="00B07608"/>
    <w:rsid w:val="00B13786"/>
    <w:rsid w:val="00B15DBC"/>
    <w:rsid w:val="00B44BD7"/>
    <w:rsid w:val="00B55AC8"/>
    <w:rsid w:val="00B63EB4"/>
    <w:rsid w:val="00B72AB7"/>
    <w:rsid w:val="00B7440F"/>
    <w:rsid w:val="00B76437"/>
    <w:rsid w:val="00B917E8"/>
    <w:rsid w:val="00BA3B51"/>
    <w:rsid w:val="00BB1F83"/>
    <w:rsid w:val="00BC5C12"/>
    <w:rsid w:val="00BC5E58"/>
    <w:rsid w:val="00BE085A"/>
    <w:rsid w:val="00BE1DF9"/>
    <w:rsid w:val="00BF0041"/>
    <w:rsid w:val="00BF3D21"/>
    <w:rsid w:val="00BF5CDA"/>
    <w:rsid w:val="00C06E80"/>
    <w:rsid w:val="00C1155D"/>
    <w:rsid w:val="00C147A3"/>
    <w:rsid w:val="00C16EE4"/>
    <w:rsid w:val="00C214C4"/>
    <w:rsid w:val="00C34030"/>
    <w:rsid w:val="00C36834"/>
    <w:rsid w:val="00C45BBD"/>
    <w:rsid w:val="00C6279C"/>
    <w:rsid w:val="00CA63AF"/>
    <w:rsid w:val="00CB468F"/>
    <w:rsid w:val="00CC7D72"/>
    <w:rsid w:val="00CD09FA"/>
    <w:rsid w:val="00CD0C63"/>
    <w:rsid w:val="00CF287B"/>
    <w:rsid w:val="00D16DF6"/>
    <w:rsid w:val="00D422FF"/>
    <w:rsid w:val="00D446B4"/>
    <w:rsid w:val="00D45863"/>
    <w:rsid w:val="00D47904"/>
    <w:rsid w:val="00D5454F"/>
    <w:rsid w:val="00D60867"/>
    <w:rsid w:val="00D914A5"/>
    <w:rsid w:val="00DB2696"/>
    <w:rsid w:val="00DD7131"/>
    <w:rsid w:val="00DE60F7"/>
    <w:rsid w:val="00DF17DF"/>
    <w:rsid w:val="00DF47D6"/>
    <w:rsid w:val="00DF4A9B"/>
    <w:rsid w:val="00E0517F"/>
    <w:rsid w:val="00E05939"/>
    <w:rsid w:val="00E107B9"/>
    <w:rsid w:val="00E12DCC"/>
    <w:rsid w:val="00E35477"/>
    <w:rsid w:val="00E4731D"/>
    <w:rsid w:val="00E6089D"/>
    <w:rsid w:val="00E62B06"/>
    <w:rsid w:val="00E7180E"/>
    <w:rsid w:val="00E722F9"/>
    <w:rsid w:val="00EA261B"/>
    <w:rsid w:val="00EA3D0B"/>
    <w:rsid w:val="00EA4C91"/>
    <w:rsid w:val="00EC1A5D"/>
    <w:rsid w:val="00EC2865"/>
    <w:rsid w:val="00EC46CD"/>
    <w:rsid w:val="00ED2773"/>
    <w:rsid w:val="00EE4229"/>
    <w:rsid w:val="00EE75A1"/>
    <w:rsid w:val="00EF0A42"/>
    <w:rsid w:val="00EF0B66"/>
    <w:rsid w:val="00EF5C95"/>
    <w:rsid w:val="00F02920"/>
    <w:rsid w:val="00F0529C"/>
    <w:rsid w:val="00F54AFF"/>
    <w:rsid w:val="00F57EF3"/>
    <w:rsid w:val="00F622E2"/>
    <w:rsid w:val="00F640A5"/>
    <w:rsid w:val="00F779B5"/>
    <w:rsid w:val="00F91E50"/>
    <w:rsid w:val="00F96DA3"/>
    <w:rsid w:val="00FA21D3"/>
    <w:rsid w:val="00FA49BE"/>
    <w:rsid w:val="00FB1A05"/>
    <w:rsid w:val="00FB216B"/>
    <w:rsid w:val="00FB2A9E"/>
    <w:rsid w:val="00FB7BCA"/>
    <w:rsid w:val="00FB7E78"/>
    <w:rsid w:val="00FC14CB"/>
    <w:rsid w:val="00FC791A"/>
    <w:rsid w:val="00FD0CBD"/>
    <w:rsid w:val="00FD187C"/>
    <w:rsid w:val="00FD7D38"/>
    <w:rsid w:val="00FE756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4517229"/>
  <w15:chartTrackingRefBased/>
  <w15:docId w15:val="{FBAB849C-F450-44DF-AE48-1C9740AC7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sz w:val="22"/>
      <w:lang w:eastAsia="zh-CN"/>
    </w:rPr>
  </w:style>
  <w:style w:type="paragraph" w:styleId="Kop1">
    <w:name w:val="heading 1"/>
    <w:basedOn w:val="Standaard"/>
    <w:next w:val="Standaard"/>
    <w:qFormat/>
    <w:pPr>
      <w:keepNext/>
      <w:numPr>
        <w:numId w:val="1"/>
      </w:numPr>
      <w:spacing w:after="560"/>
      <w:outlineLvl w:val="0"/>
    </w:pPr>
    <w:rPr>
      <w:sz w:val="28"/>
    </w:rPr>
  </w:style>
  <w:style w:type="paragraph" w:styleId="Kop2">
    <w:name w:val="heading 2"/>
    <w:basedOn w:val="Kop1"/>
    <w:next w:val="Standaard"/>
    <w:qFormat/>
    <w:pPr>
      <w:numPr>
        <w:ilvl w:val="1"/>
      </w:numPr>
      <w:spacing w:after="280"/>
      <w:outlineLvl w:val="1"/>
    </w:pPr>
    <w:rPr>
      <w:b/>
      <w:sz w:val="22"/>
    </w:rPr>
  </w:style>
  <w:style w:type="paragraph" w:styleId="Kop3">
    <w:name w:val="heading 3"/>
    <w:basedOn w:val="Kop2"/>
    <w:next w:val="Standaard"/>
    <w:qFormat/>
    <w:pPr>
      <w:numPr>
        <w:ilvl w:val="2"/>
      </w:numPr>
      <w:spacing w:after="0"/>
      <w:outlineLvl w:val="2"/>
    </w:pPr>
    <w:rPr>
      <w:b w:val="0"/>
      <w:i/>
    </w:rPr>
  </w:style>
  <w:style w:type="paragraph" w:styleId="Kop4">
    <w:name w:val="heading 4"/>
    <w:basedOn w:val="Kop3"/>
    <w:next w:val="Standaard"/>
    <w:qFormat/>
    <w:pPr>
      <w:numPr>
        <w:ilvl w:val="3"/>
      </w:numPr>
      <w:outlineLvl w:val="3"/>
    </w:pPr>
  </w:style>
  <w:style w:type="paragraph" w:styleId="Kop5">
    <w:name w:val="heading 5"/>
    <w:basedOn w:val="Standaard"/>
    <w:next w:val="Standaard"/>
    <w:qFormat/>
    <w:pPr>
      <w:numPr>
        <w:ilvl w:val="4"/>
        <w:numId w:val="1"/>
      </w:numPr>
      <w:spacing w:before="240" w:after="60"/>
      <w:outlineLvl w:val="4"/>
    </w:pPr>
    <w:rPr>
      <w:rFonts w:ascii="Arial" w:hAnsi="Arial"/>
    </w:rPr>
  </w:style>
  <w:style w:type="paragraph" w:styleId="Kop6">
    <w:name w:val="heading 6"/>
    <w:basedOn w:val="Standaard"/>
    <w:next w:val="Standaard"/>
    <w:qFormat/>
    <w:pPr>
      <w:numPr>
        <w:ilvl w:val="5"/>
        <w:numId w:val="1"/>
      </w:numPr>
      <w:spacing w:before="240" w:after="60"/>
      <w:outlineLvl w:val="5"/>
    </w:pPr>
    <w:rPr>
      <w:rFonts w:ascii="Arial" w:hAnsi="Arial"/>
      <w:i/>
    </w:rPr>
  </w:style>
  <w:style w:type="paragraph" w:styleId="Kop7">
    <w:name w:val="heading 7"/>
    <w:basedOn w:val="Standaard"/>
    <w:next w:val="Standaard"/>
    <w:qFormat/>
    <w:pPr>
      <w:numPr>
        <w:ilvl w:val="6"/>
        <w:numId w:val="1"/>
      </w:numPr>
      <w:spacing w:before="240" w:after="60"/>
      <w:outlineLvl w:val="6"/>
    </w:pPr>
    <w:rPr>
      <w:rFonts w:ascii="Arial" w:hAnsi="Arial"/>
      <w:sz w:val="20"/>
    </w:rPr>
  </w:style>
  <w:style w:type="paragraph" w:styleId="Kop8">
    <w:name w:val="heading 8"/>
    <w:basedOn w:val="Standaard"/>
    <w:next w:val="Standaard"/>
    <w:qFormat/>
    <w:pPr>
      <w:numPr>
        <w:ilvl w:val="7"/>
        <w:numId w:val="1"/>
      </w:numPr>
      <w:spacing w:before="240" w:after="60"/>
      <w:outlineLvl w:val="7"/>
    </w:pPr>
    <w:rPr>
      <w:rFonts w:ascii="Arial" w:hAnsi="Arial"/>
      <w:i/>
      <w:sz w:val="20"/>
    </w:rPr>
  </w:style>
  <w:style w:type="paragraph" w:styleId="Kop9">
    <w:name w:val="heading 9"/>
    <w:basedOn w:val="Standaard"/>
    <w:next w:val="Standaard"/>
    <w:qFormat/>
    <w:pPr>
      <w:numPr>
        <w:ilvl w:val="8"/>
        <w:numId w:val="1"/>
      </w:numPr>
      <w:spacing w:before="240" w:after="60"/>
      <w:outlineLvl w:val="8"/>
    </w:pPr>
    <w:rPr>
      <w:rFonts w:ascii="Arial" w:hAnsi="Arial"/>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Macrotekst">
    <w:name w:val="macro"/>
    <w:semiHidden/>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 w:val="left" w:pos="9639"/>
        <w:tab w:val="left" w:pos="9923"/>
        <w:tab w:val="left" w:pos="10206"/>
        <w:tab w:val="left" w:pos="10490"/>
        <w:tab w:val="left" w:pos="10773"/>
        <w:tab w:val="left" w:pos="11057"/>
        <w:tab w:val="left" w:pos="11340"/>
      </w:tabs>
      <w:spacing w:line="280" w:lineRule="atLeast"/>
      <w:ind w:right="-5670"/>
    </w:pPr>
    <w:rPr>
      <w:rFonts w:ascii="Courier New" w:hAnsi="Courier New"/>
    </w:rPr>
  </w:style>
  <w:style w:type="paragraph" w:styleId="Koptekst">
    <w:name w:val="header"/>
    <w:basedOn w:val="Standaard"/>
    <w:pPr>
      <w:spacing w:before="60"/>
    </w:pPr>
    <w:rPr>
      <w:rFonts w:ascii="Univers" w:hAnsi="Univers"/>
      <w:sz w:val="28"/>
    </w:rPr>
  </w:style>
  <w:style w:type="paragraph" w:customStyle="1" w:styleId="Opsomming1">
    <w:name w:val="Opsomming 1"/>
    <w:basedOn w:val="Standaard"/>
    <w:pPr>
      <w:ind w:left="284" w:hanging="284"/>
    </w:pPr>
  </w:style>
  <w:style w:type="paragraph" w:customStyle="1" w:styleId="Opsomming2">
    <w:name w:val="Opsomming 2"/>
    <w:basedOn w:val="Opsomming1"/>
  </w:style>
  <w:style w:type="paragraph" w:customStyle="1" w:styleId="Opsomming3">
    <w:name w:val="Opsomming 3"/>
    <w:basedOn w:val="Opsomming2"/>
  </w:style>
  <w:style w:type="paragraph" w:customStyle="1" w:styleId="OpsommingLetter">
    <w:name w:val="Opsomming Letter"/>
    <w:basedOn w:val="Opsomming1"/>
    <w:pPr>
      <w:ind w:left="283" w:hanging="283"/>
    </w:pPr>
  </w:style>
  <w:style w:type="paragraph" w:customStyle="1" w:styleId="OpsommingNummer">
    <w:name w:val="Opsomming Nummer"/>
    <w:basedOn w:val="Opsomming1"/>
  </w:style>
  <w:style w:type="paragraph" w:customStyle="1" w:styleId="OpsommingStreep">
    <w:name w:val="Opsomming Streep"/>
    <w:basedOn w:val="Standaard"/>
    <w:pPr>
      <w:ind w:left="283" w:hanging="283"/>
    </w:pPr>
  </w:style>
  <w:style w:type="character" w:styleId="Paginanummer">
    <w:name w:val="page number"/>
    <w:rPr>
      <w:rFonts w:ascii="Univers" w:hAnsi="Univers"/>
      <w:color w:val="auto"/>
      <w:spacing w:val="0"/>
      <w:kern w:val="0"/>
      <w:position w:val="0"/>
      <w:sz w:val="14"/>
      <w:u w:val="none"/>
      <w:vertAlign w:val="baseline"/>
    </w:rPr>
  </w:style>
  <w:style w:type="paragraph" w:customStyle="1" w:styleId="Tabelkopregel">
    <w:name w:val="Tabel kopregel"/>
    <w:basedOn w:val="Standaard"/>
    <w:pPr>
      <w:spacing w:before="240" w:after="240"/>
    </w:pPr>
  </w:style>
  <w:style w:type="paragraph" w:customStyle="1" w:styleId="Vastetekst">
    <w:name w:val="Vaste tekst"/>
    <w:basedOn w:val="Voettekst"/>
    <w:next w:val="Standaard"/>
  </w:style>
  <w:style w:type="paragraph" w:styleId="Voettekst">
    <w:name w:val="footer"/>
    <w:basedOn w:val="Standaard"/>
    <w:pPr>
      <w:tabs>
        <w:tab w:val="center" w:pos="4252"/>
        <w:tab w:val="right" w:pos="8504"/>
      </w:tabs>
      <w:spacing w:after="360" w:line="240" w:lineRule="exact"/>
      <w:ind w:left="3969"/>
    </w:pPr>
    <w:rPr>
      <w:rFonts w:ascii="Univers" w:hAnsi="Univers"/>
      <w:sz w:val="14"/>
    </w:rPr>
  </w:style>
  <w:style w:type="paragraph" w:styleId="Ballontekst">
    <w:name w:val="Balloon Text"/>
    <w:basedOn w:val="Standaard"/>
    <w:semiHidden/>
    <w:rPr>
      <w:rFonts w:ascii="Tahoma" w:hAnsi="Tahoma"/>
      <w:sz w:val="16"/>
      <w:szCs w:val="16"/>
    </w:rPr>
  </w:style>
  <w:style w:type="paragraph" w:customStyle="1" w:styleId="StandaardAnderhalf">
    <w:name w:val="Standaard Anderhalf"/>
    <w:basedOn w:val="Standaard"/>
    <w:pPr>
      <w:spacing w:line="420" w:lineRule="exact"/>
    </w:pPr>
  </w:style>
  <w:style w:type="paragraph" w:styleId="Documentstructuur">
    <w:name w:val="Document Map"/>
    <w:basedOn w:val="Standaard"/>
    <w:semiHidden/>
    <w:pPr>
      <w:shd w:val="clear" w:color="auto" w:fill="000080"/>
    </w:pPr>
    <w:rPr>
      <w:rFonts w:ascii="Tahoma" w:hAnsi="Tahoma" w:cs="Tahoma"/>
      <w:sz w:val="20"/>
    </w:rPr>
  </w:style>
  <w:style w:type="character" w:styleId="Hyperlink">
    <w:name w:val="Hyperlink"/>
    <w:rPr>
      <w:color w:val="0000FF"/>
      <w:u w:val="single"/>
    </w:rPr>
  </w:style>
  <w:style w:type="character" w:styleId="GevolgdeHyperlink">
    <w:name w:val="FollowedHyperlink"/>
    <w:rPr>
      <w:color w:val="800080"/>
      <w:u w:val="single"/>
    </w:rPr>
  </w:style>
  <w:style w:type="paragraph" w:styleId="Voetnoottekst">
    <w:name w:val="footnote text"/>
    <w:basedOn w:val="Standaard"/>
    <w:semiHidden/>
    <w:rPr>
      <w:sz w:val="20"/>
    </w:rPr>
  </w:style>
  <w:style w:type="character" w:styleId="Voetnootmarkering">
    <w:name w:val="footnote reference"/>
    <w:semiHidden/>
    <w:rPr>
      <w:vertAlign w:val="superscript"/>
    </w:rPr>
  </w:style>
  <w:style w:type="paragraph" w:styleId="Lijstalinea">
    <w:name w:val="List Paragraph"/>
    <w:aliases w:val="Bullets,Paragraphe de liste1,Dot pt,F5 List Paragraph,List Paragraph1,No Spacing1,List Paragraph Char Char Char,Indicator Text,Numbered Para 1,Colorful List - Accent 11,Bullet Points,MAIN CONTENT,List Paragraph12,List Paragraph2,Bullet 1"/>
    <w:basedOn w:val="Standaard"/>
    <w:link w:val="LijstalineaChar"/>
    <w:uiPriority w:val="34"/>
    <w:qFormat/>
    <w:rsid w:val="000D01B7"/>
    <w:pPr>
      <w:ind w:left="720"/>
    </w:pPr>
  </w:style>
  <w:style w:type="character" w:styleId="Verwijzingopmerking">
    <w:name w:val="annotation reference"/>
    <w:rsid w:val="00A57FAE"/>
    <w:rPr>
      <w:sz w:val="16"/>
      <w:szCs w:val="16"/>
    </w:rPr>
  </w:style>
  <w:style w:type="paragraph" w:styleId="Tekstopmerking">
    <w:name w:val="annotation text"/>
    <w:basedOn w:val="Standaard"/>
    <w:link w:val="TekstopmerkingChar"/>
    <w:rsid w:val="00A57FAE"/>
    <w:rPr>
      <w:sz w:val="20"/>
    </w:rPr>
  </w:style>
  <w:style w:type="character" w:customStyle="1" w:styleId="TekstopmerkingChar">
    <w:name w:val="Tekst opmerking Char"/>
    <w:link w:val="Tekstopmerking"/>
    <w:rsid w:val="00A57FAE"/>
    <w:rPr>
      <w:lang w:eastAsia="zh-CN"/>
    </w:rPr>
  </w:style>
  <w:style w:type="paragraph" w:styleId="Onderwerpvanopmerking">
    <w:name w:val="annotation subject"/>
    <w:basedOn w:val="Tekstopmerking"/>
    <w:next w:val="Tekstopmerking"/>
    <w:link w:val="OnderwerpvanopmerkingChar"/>
    <w:rsid w:val="00A57FAE"/>
    <w:rPr>
      <w:b/>
      <w:bCs/>
    </w:rPr>
  </w:style>
  <w:style w:type="character" w:customStyle="1" w:styleId="OnderwerpvanopmerkingChar">
    <w:name w:val="Onderwerp van opmerking Char"/>
    <w:link w:val="Onderwerpvanopmerking"/>
    <w:rsid w:val="00A57FAE"/>
    <w:rPr>
      <w:b/>
      <w:bCs/>
      <w:lang w:eastAsia="zh-CN"/>
    </w:rPr>
  </w:style>
  <w:style w:type="character" w:styleId="Onopgelostemelding">
    <w:name w:val="Unresolved Mention"/>
    <w:basedOn w:val="Standaardalinea-lettertype"/>
    <w:uiPriority w:val="99"/>
    <w:semiHidden/>
    <w:unhideWhenUsed/>
    <w:rsid w:val="008F5D04"/>
    <w:rPr>
      <w:color w:val="605E5C"/>
      <w:shd w:val="clear" w:color="auto" w:fill="E1DFDD"/>
    </w:rPr>
  </w:style>
  <w:style w:type="character" w:customStyle="1" w:styleId="LijstalineaChar">
    <w:name w:val="Lijstalinea Char"/>
    <w:aliases w:val="Bullets Char,Paragraphe de liste1 Char,Dot pt Char,F5 List Paragraph Char,List Paragraph1 Char,No Spacing1 Char,List Paragraph Char Char Char Char,Indicator Text Char,Numbered Para 1 Char,Colorful List - Accent 11 Char,MAIN CONTENT Char"/>
    <w:basedOn w:val="Standaardalinea-lettertype"/>
    <w:link w:val="Lijstalinea"/>
    <w:uiPriority w:val="34"/>
    <w:qFormat/>
    <w:locked/>
    <w:rsid w:val="0037673F"/>
    <w:rPr>
      <w:sz w:val="22"/>
      <w:lang w:eastAsia="zh-CN"/>
    </w:rPr>
  </w:style>
  <w:style w:type="paragraph" w:styleId="Geenafstand">
    <w:name w:val="No Spacing"/>
    <w:link w:val="GeenafstandChar"/>
    <w:uiPriority w:val="1"/>
    <w:qFormat/>
    <w:rsid w:val="006929AB"/>
    <w:rPr>
      <w:rFonts w:asciiTheme="minorHAnsi" w:eastAsiaTheme="minorEastAsia" w:hAnsiTheme="minorHAnsi" w:cstheme="minorBidi"/>
      <w:sz w:val="22"/>
      <w:szCs w:val="22"/>
      <w:lang w:val="en-US" w:eastAsia="en-US"/>
    </w:rPr>
  </w:style>
  <w:style w:type="character" w:customStyle="1" w:styleId="GeenafstandChar">
    <w:name w:val="Geen afstand Char"/>
    <w:basedOn w:val="Standaardalinea-lettertype"/>
    <w:link w:val="Geenafstand"/>
    <w:uiPriority w:val="1"/>
    <w:rsid w:val="006929AB"/>
    <w:rPr>
      <w:rFonts w:asciiTheme="minorHAnsi" w:eastAsiaTheme="minorEastAsia" w:hAnsiTheme="minorHAnsi" w:cstheme="minorBidi"/>
      <w:sz w:val="22"/>
      <w:szCs w:val="22"/>
      <w:lang w:val="en-US" w:eastAsia="en-US"/>
    </w:rPr>
  </w:style>
  <w:style w:type="paragraph" w:styleId="Revisie">
    <w:name w:val="Revision"/>
    <w:hidden/>
    <w:uiPriority w:val="99"/>
    <w:semiHidden/>
    <w:rsid w:val="008B0009"/>
    <w:rPr>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636171">
      <w:bodyDiv w:val="1"/>
      <w:marLeft w:val="0"/>
      <w:marRight w:val="0"/>
      <w:marTop w:val="0"/>
      <w:marBottom w:val="0"/>
      <w:divBdr>
        <w:top w:val="none" w:sz="0" w:space="0" w:color="auto"/>
        <w:left w:val="none" w:sz="0" w:space="0" w:color="auto"/>
        <w:bottom w:val="none" w:sz="0" w:space="0" w:color="auto"/>
        <w:right w:val="none" w:sz="0" w:space="0" w:color="auto"/>
      </w:divBdr>
    </w:div>
    <w:div w:id="286394068">
      <w:bodyDiv w:val="1"/>
      <w:marLeft w:val="0"/>
      <w:marRight w:val="0"/>
      <w:marTop w:val="0"/>
      <w:marBottom w:val="0"/>
      <w:divBdr>
        <w:top w:val="none" w:sz="0" w:space="0" w:color="auto"/>
        <w:left w:val="none" w:sz="0" w:space="0" w:color="auto"/>
        <w:bottom w:val="none" w:sz="0" w:space="0" w:color="auto"/>
        <w:right w:val="none" w:sz="0" w:space="0" w:color="auto"/>
      </w:divBdr>
    </w:div>
    <w:div w:id="568807535">
      <w:bodyDiv w:val="1"/>
      <w:marLeft w:val="0"/>
      <w:marRight w:val="0"/>
      <w:marTop w:val="0"/>
      <w:marBottom w:val="0"/>
      <w:divBdr>
        <w:top w:val="none" w:sz="0" w:space="0" w:color="auto"/>
        <w:left w:val="none" w:sz="0" w:space="0" w:color="auto"/>
        <w:bottom w:val="none" w:sz="0" w:space="0" w:color="auto"/>
        <w:right w:val="none" w:sz="0" w:space="0" w:color="auto"/>
      </w:divBdr>
    </w:div>
    <w:div w:id="757021736">
      <w:bodyDiv w:val="1"/>
      <w:marLeft w:val="0"/>
      <w:marRight w:val="0"/>
      <w:marTop w:val="0"/>
      <w:marBottom w:val="0"/>
      <w:divBdr>
        <w:top w:val="none" w:sz="0" w:space="0" w:color="auto"/>
        <w:left w:val="none" w:sz="0" w:space="0" w:color="auto"/>
        <w:bottom w:val="none" w:sz="0" w:space="0" w:color="auto"/>
        <w:right w:val="none" w:sz="0" w:space="0" w:color="auto"/>
      </w:divBdr>
    </w:div>
    <w:div w:id="803232721">
      <w:bodyDiv w:val="1"/>
      <w:marLeft w:val="0"/>
      <w:marRight w:val="0"/>
      <w:marTop w:val="0"/>
      <w:marBottom w:val="0"/>
      <w:divBdr>
        <w:top w:val="none" w:sz="0" w:space="0" w:color="auto"/>
        <w:left w:val="none" w:sz="0" w:space="0" w:color="auto"/>
        <w:bottom w:val="none" w:sz="0" w:space="0" w:color="auto"/>
        <w:right w:val="none" w:sz="0" w:space="0" w:color="auto"/>
      </w:divBdr>
    </w:div>
    <w:div w:id="990792081">
      <w:bodyDiv w:val="1"/>
      <w:marLeft w:val="0"/>
      <w:marRight w:val="0"/>
      <w:marTop w:val="0"/>
      <w:marBottom w:val="0"/>
      <w:divBdr>
        <w:top w:val="none" w:sz="0" w:space="0" w:color="auto"/>
        <w:left w:val="none" w:sz="0" w:space="0" w:color="auto"/>
        <w:bottom w:val="none" w:sz="0" w:space="0" w:color="auto"/>
        <w:right w:val="none" w:sz="0" w:space="0" w:color="auto"/>
      </w:divBdr>
    </w:div>
    <w:div w:id="1126773403">
      <w:bodyDiv w:val="1"/>
      <w:marLeft w:val="0"/>
      <w:marRight w:val="0"/>
      <w:marTop w:val="0"/>
      <w:marBottom w:val="0"/>
      <w:divBdr>
        <w:top w:val="none" w:sz="0" w:space="0" w:color="auto"/>
        <w:left w:val="none" w:sz="0" w:space="0" w:color="auto"/>
        <w:bottom w:val="none" w:sz="0" w:space="0" w:color="auto"/>
        <w:right w:val="none" w:sz="0" w:space="0" w:color="auto"/>
      </w:divBdr>
    </w:div>
    <w:div w:id="1249803000">
      <w:bodyDiv w:val="1"/>
      <w:marLeft w:val="0"/>
      <w:marRight w:val="0"/>
      <w:marTop w:val="0"/>
      <w:marBottom w:val="0"/>
      <w:divBdr>
        <w:top w:val="none" w:sz="0" w:space="0" w:color="auto"/>
        <w:left w:val="none" w:sz="0" w:space="0" w:color="auto"/>
        <w:bottom w:val="none" w:sz="0" w:space="0" w:color="auto"/>
        <w:right w:val="none" w:sz="0" w:space="0" w:color="auto"/>
      </w:divBdr>
    </w:div>
    <w:div w:id="1374962221">
      <w:bodyDiv w:val="1"/>
      <w:marLeft w:val="0"/>
      <w:marRight w:val="0"/>
      <w:marTop w:val="0"/>
      <w:marBottom w:val="0"/>
      <w:divBdr>
        <w:top w:val="none" w:sz="0" w:space="0" w:color="auto"/>
        <w:left w:val="none" w:sz="0" w:space="0" w:color="auto"/>
        <w:bottom w:val="none" w:sz="0" w:space="0" w:color="auto"/>
        <w:right w:val="none" w:sz="0" w:space="0" w:color="auto"/>
      </w:divBdr>
    </w:div>
    <w:div w:id="1404328314">
      <w:bodyDiv w:val="1"/>
      <w:marLeft w:val="0"/>
      <w:marRight w:val="0"/>
      <w:marTop w:val="0"/>
      <w:marBottom w:val="0"/>
      <w:divBdr>
        <w:top w:val="none" w:sz="0" w:space="0" w:color="auto"/>
        <w:left w:val="none" w:sz="0" w:space="0" w:color="auto"/>
        <w:bottom w:val="none" w:sz="0" w:space="0" w:color="auto"/>
        <w:right w:val="none" w:sz="0" w:space="0" w:color="auto"/>
      </w:divBdr>
    </w:div>
    <w:div w:id="1432974774">
      <w:bodyDiv w:val="1"/>
      <w:marLeft w:val="0"/>
      <w:marRight w:val="0"/>
      <w:marTop w:val="0"/>
      <w:marBottom w:val="0"/>
      <w:divBdr>
        <w:top w:val="none" w:sz="0" w:space="0" w:color="auto"/>
        <w:left w:val="none" w:sz="0" w:space="0" w:color="auto"/>
        <w:bottom w:val="none" w:sz="0" w:space="0" w:color="auto"/>
        <w:right w:val="none" w:sz="0" w:space="0" w:color="auto"/>
      </w:divBdr>
    </w:div>
    <w:div w:id="1586642642">
      <w:bodyDiv w:val="1"/>
      <w:marLeft w:val="0"/>
      <w:marRight w:val="0"/>
      <w:marTop w:val="0"/>
      <w:marBottom w:val="0"/>
      <w:divBdr>
        <w:top w:val="none" w:sz="0" w:space="0" w:color="auto"/>
        <w:left w:val="none" w:sz="0" w:space="0" w:color="auto"/>
        <w:bottom w:val="none" w:sz="0" w:space="0" w:color="auto"/>
        <w:right w:val="none" w:sz="0" w:space="0" w:color="auto"/>
      </w:divBdr>
    </w:div>
    <w:div w:id="1659993274">
      <w:bodyDiv w:val="1"/>
      <w:marLeft w:val="0"/>
      <w:marRight w:val="0"/>
      <w:marTop w:val="0"/>
      <w:marBottom w:val="0"/>
      <w:divBdr>
        <w:top w:val="none" w:sz="0" w:space="0" w:color="auto"/>
        <w:left w:val="none" w:sz="0" w:space="0" w:color="auto"/>
        <w:bottom w:val="none" w:sz="0" w:space="0" w:color="auto"/>
        <w:right w:val="none" w:sz="0" w:space="0" w:color="auto"/>
      </w:divBdr>
    </w:div>
    <w:div w:id="1853375077">
      <w:bodyDiv w:val="1"/>
      <w:marLeft w:val="0"/>
      <w:marRight w:val="0"/>
      <w:marTop w:val="0"/>
      <w:marBottom w:val="0"/>
      <w:divBdr>
        <w:top w:val="none" w:sz="0" w:space="0" w:color="auto"/>
        <w:left w:val="none" w:sz="0" w:space="0" w:color="auto"/>
        <w:bottom w:val="none" w:sz="0" w:space="0" w:color="auto"/>
        <w:right w:val="none" w:sz="0" w:space="0" w:color="auto"/>
      </w:divBdr>
    </w:div>
    <w:div w:id="1989624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https://eur-lex.europa.eu/legal-content/NL/TXT/?uri=CELEX:52026DC0334" TargetMode="External" Id="rId13" /><Relationship Type="http://schemas.openxmlformats.org/officeDocument/2006/relationships/fontTable" Target="fontTable.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oter" Target="footer3.xml" Id="rId17" /><Relationship Type="http://schemas.openxmlformats.org/officeDocument/2006/relationships/footer" Target="footer2.xml" Id="rId16"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theme" Target="theme/theme1.xml" Id="rId19" /><Relationship Type="http://schemas.openxmlformats.org/officeDocument/2006/relationships/settings" Target="settings.xml" Id="rId9" /><Relationship Type="http://schemas.openxmlformats.org/officeDocument/2006/relationships/header" Target="header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commission.europa.eu/publications/multiannual-financial-framework_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ap:Properties xmlns:vt="http://schemas.openxmlformats.org/officeDocument/2006/docPropsVTypes" xmlns:ap="http://schemas.openxmlformats.org/officeDocument/2006/extended-properties">
  <ap:Pages>5</ap:Pages>
  <ap:Words>1835</ap:Words>
  <ap:Characters>10093</ap:Characters>
  <ap:DocSecurity>0</ap:DocSecurity>
  <ap:Lines>84</ap:Lines>
  <ap:Paragraphs>23</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Blanco</vt:lpstr>
      <vt:lpstr>Blanco</vt:lpstr>
    </vt:vector>
  </ap:TitlesOfParts>
  <ap:LinksUpToDate>false</ap:LinksUpToDate>
  <ap:CharactersWithSpaces>11905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2017-08-24T08:07:00.0000000Z</lastPrinted>
  <dcterms:created xsi:type="dcterms:W3CDTF">2026-09-04T06:55:00.0000000Z</dcterms:created>
  <dcterms:modified xsi:type="dcterms:W3CDTF">2026-09-04T06:55:00.0000000Z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BZ_Forum">
    <vt:lpwstr>3;#EU|4d8f9873-61b3-4ee5-b6f7-0bb00c6df5e8</vt:lpwstr>
  </property>
  <property fmtid="{D5CDD505-2E9C-101B-9397-08002B2CF9AE}" pid="3" name="BZ_Classification">
    <vt:lpwstr>4;#UNCLASSIFIED|d92c6340-bc14-4cb2-a9a6-6deda93c493b</vt:lpwstr>
  </property>
  <property fmtid="{D5CDD505-2E9C-101B-9397-08002B2CF9AE}" pid="4" name="BZ_Country">
    <vt:lpwstr>2;#Not applicable|ec01d90b-9d0f-4785-8785-e1ea615196bf</vt:lpwstr>
  </property>
  <property fmtid="{D5CDD505-2E9C-101B-9397-08002B2CF9AE}" pid="5" name="BZ_Theme">
    <vt:lpwstr>1;#European cooperation (non-EU) general|32cb20cb-36c6-4655-9372-780089c6b4ef</vt:lpwstr>
  </property>
  <property fmtid="{D5CDD505-2E9C-101B-9397-08002B2CF9AE}" pid="6" name="ContentTypeId">
    <vt:lpwstr>0x0101009C7CE436063D44E9BE7DC0259EF7C32F006EB9F9836A634AE58B6169785FD3936F00217B40B85F561D42AA9161C69469867D</vt:lpwstr>
  </property>
  <property fmtid="{D5CDD505-2E9C-101B-9397-08002B2CF9AE}" pid="7" name="MSIP_Label_6800fede-0e59-47ad-af95-4e63bbdb932d_Enabled">
    <vt:lpwstr>true</vt:lpwstr>
  </property>
  <property fmtid="{D5CDD505-2E9C-101B-9397-08002B2CF9AE}" pid="8" name="MSIP_Label_6800fede-0e59-47ad-af95-4e63bbdb932d_SetDate">
    <vt:lpwstr>2026-07-23T08:28:51Z</vt:lpwstr>
  </property>
  <property fmtid="{D5CDD505-2E9C-101B-9397-08002B2CF9AE}" pid="9" name="MSIP_Label_6800fede-0e59-47ad-af95-4e63bbdb932d_Method">
    <vt:lpwstr>Standard</vt:lpwstr>
  </property>
  <property fmtid="{D5CDD505-2E9C-101B-9397-08002B2CF9AE}" pid="10" name="MSIP_Label_6800fede-0e59-47ad-af95-4e63bbdb932d_Name">
    <vt:lpwstr>FIN-DGGT-Rijksoverheid</vt:lpwstr>
  </property>
  <property fmtid="{D5CDD505-2E9C-101B-9397-08002B2CF9AE}" pid="11" name="MSIP_Label_6800fede-0e59-47ad-af95-4e63bbdb932d_SiteId">
    <vt:lpwstr>84712536-f524-40a0-913b-5d25ba502732</vt:lpwstr>
  </property>
  <property fmtid="{D5CDD505-2E9C-101B-9397-08002B2CF9AE}" pid="12" name="MSIP_Label_6800fede-0e59-47ad-af95-4e63bbdb932d_ActionId">
    <vt:lpwstr>f6f0c4a4-7866-4964-ba72-c4a5695e9759</vt:lpwstr>
  </property>
  <property fmtid="{D5CDD505-2E9C-101B-9397-08002B2CF9AE}" pid="13" name="MSIP_Label_6800fede-0e59-47ad-af95-4e63bbdb932d_ContentBits">
    <vt:lpwstr>0</vt:lpwstr>
  </property>
  <property fmtid="{D5CDD505-2E9C-101B-9397-08002B2CF9AE}" pid="14" name="MSIP_Label_6800fede-0e59-47ad-af95-4e63bbdb932d_Tag">
    <vt:lpwstr>10, 3, 0, 1</vt:lpwstr>
  </property>
  <property fmtid="{D5CDD505-2E9C-101B-9397-08002B2CF9AE}" pid="15" name="gc2efd3bfea04f7f8169be07009f5536">
    <vt:lpwstr/>
  </property>
  <property fmtid="{D5CDD505-2E9C-101B-9397-08002B2CF9AE}" pid="16" name="cc4b55a5ee91473b87ec338540cdae54">
    <vt:lpwstr>Not applicable|ec01d90b-9d0f-4785-8785-e1ea615196bf</vt:lpwstr>
  </property>
  <property fmtid="{D5CDD505-2E9C-101B-9397-08002B2CF9AE}" pid="17" name="BZForumOrganisation">
    <vt:lpwstr>2;#Not applicable|0049e722-bfb1-4a3f-9d08-af7366a9af40</vt:lpwstr>
  </property>
  <property fmtid="{D5CDD505-2E9C-101B-9397-08002B2CF9AE}" pid="18" name="BZArchiveLog">
    <vt:lpwstr/>
  </property>
  <property fmtid="{D5CDD505-2E9C-101B-9397-08002B2CF9AE}" pid="19" name="BZDossierSendTo">
    <vt:lpwstr/>
  </property>
  <property fmtid="{D5CDD505-2E9C-101B-9397-08002B2CF9AE}" pid="20" name="BZTheme">
    <vt:lpwstr>1;#Informatie voorziening|8edfc6d5-9fe4-8b19-f842-4a06399853cd</vt:lpwstr>
  </property>
  <property fmtid="{D5CDD505-2E9C-101B-9397-08002B2CF9AE}" pid="21" name="d1b77f58b5724360bd683b4bf0d30054">
    <vt:lpwstr>UNCLASSIFIED (U)|284e6a62-15ab-4017-be27-a1e965f4e940</vt:lpwstr>
  </property>
  <property fmtid="{D5CDD505-2E9C-101B-9397-08002B2CF9AE}" pid="22" name="TaxCatchAll">
    <vt:lpwstr>11;#NO MARKING|0a4eb9ae-69eb-4d9e-b573-43ab99ef8592;#10;#UNCLASSIFIED (U)|284e6a62-15ab-4017-be27-a1e965f4e940;#9;#Not applicable|ec01d90b-9d0f-4785-8785-e1ea615196bf;#8;#Tweede Kamer|ae4ca303-e726-4734-9896-95997da81ef8;#7;#COWEB|f9f06fcd-c9a9-43c4-a9ee-0e8851569a53;#6;#European Council|f36517e7-399f-4fdc-9f55-1e9ddb149884;#5;#RAZ|053a4067-7835-4380-82cb-00d4c36faadf;#4;#EU|4d8f9873-61b3-4ee5-b6f7-0bb00c6df5e8;#3;#COREPER II|dacf3989-ddeb-4728-9c3c-6e012ce74f17;#2;#COELA|b15b4e1f-d03a-4ada-b25f-8fcdc74b2089;#1;#EU enlargement|45ad494a-6362-42bb-b09e-425eed7ec163</vt:lpwstr>
  </property>
  <property fmtid="{D5CDD505-2E9C-101B-9397-08002B2CF9AE}" pid="23" name="e35afc56668347c3aef24194d1ed59ea">
    <vt:lpwstr>COELA|b15b4e1f-d03a-4ada-b25f-8fcdc74b2089;COREPER II|dacf3989-ddeb-4728-9c3c-6e012ce74f17;EU|4d8f9873-61b3-4ee5-b6f7-0bb00c6df5e8;RAZ|053a4067-7835-4380-82cb-00d4c36faadf;European Council|f36517e7-399f-4fdc-9f55-1e9ddb149884;COWEB|f9f06fcd-c9a9-43c4-a9ee-0e8851569a53;Tweede Kamer|ae4ca303-e726-4734-9896-95997da81ef8</vt:lpwstr>
  </property>
  <property fmtid="{D5CDD505-2E9C-101B-9397-08002B2CF9AE}" pid="24" name="f7af940f06314dc78018242c25682d67">
    <vt:lpwstr>NO MARKING|0a4eb9ae-69eb-4d9e-b573-43ab99ef8592</vt:lpwstr>
  </property>
  <property fmtid="{D5CDD505-2E9C-101B-9397-08002B2CF9AE}" pid="25" name="BZDossierResponsibleDepartment">
    <vt:lpwstr/>
  </property>
  <property fmtid="{D5CDD505-2E9C-101B-9397-08002B2CF9AE}" pid="26" name="BZCountryState">
    <vt:lpwstr>3;#The Netherlands|7f69a7bb-478c-499d-a6cf-5869916dfee4</vt:lpwstr>
  </property>
  <property fmtid="{D5CDD505-2E9C-101B-9397-08002B2CF9AE}" pid="27" name="BZDossierGovernmentOfficial">
    <vt:lpwstr/>
  </property>
  <property fmtid="{D5CDD505-2E9C-101B-9397-08002B2CF9AE}" pid="28" name="BZDossierProcessLocation">
    <vt:lpwstr/>
  </property>
  <property fmtid="{D5CDD505-2E9C-101B-9397-08002B2CF9AE}" pid="29" name="i42ef48d5fa942a0ad0d60e44f201751">
    <vt:lpwstr/>
  </property>
  <property fmtid="{D5CDD505-2E9C-101B-9397-08002B2CF9AE}" pid="30" name="BZDossierPublishingWOOCategory">
    <vt:lpwstr/>
  </property>
  <property fmtid="{D5CDD505-2E9C-101B-9397-08002B2CF9AE}" pid="31" name="f2fb2a8e39404f1ab554e4e4a49d2918">
    <vt:lpwstr/>
  </property>
  <property fmtid="{D5CDD505-2E9C-101B-9397-08002B2CF9AE}" pid="32" name="BZMarking">
    <vt:lpwstr>5;#NO MARKING|0a4eb9ae-69eb-4d9e-b573-43ab99ef8592</vt:lpwstr>
  </property>
  <property fmtid="{D5CDD505-2E9C-101B-9397-08002B2CF9AE}" pid="33" name="f8e003236e1c4ac2ab9051d5d8789bbb">
    <vt:lpwstr/>
  </property>
  <property fmtid="{D5CDD505-2E9C-101B-9397-08002B2CF9AE}" pid="34" name="BZClassification">
    <vt:lpwstr>4;#UNCLASSIFIED (U)|284e6a62-15ab-4017-be27-a1e965f4e940</vt:lpwstr>
  </property>
  <property fmtid="{D5CDD505-2E9C-101B-9397-08002B2CF9AE}" pid="35" name="p29721a54a5c4bbe9786e930fc91e270">
    <vt:lpwstr/>
  </property>
  <property fmtid="{D5CDD505-2E9C-101B-9397-08002B2CF9AE}" pid="36" name="BZArchiveStatus">
    <vt:lpwstr/>
  </property>
  <property fmtid="{D5CDD505-2E9C-101B-9397-08002B2CF9AE}" pid="37" name="BZThemeAsText">
    <vt:lpwstr>EU enlargement</vt:lpwstr>
  </property>
  <property fmtid="{D5CDD505-2E9C-101B-9397-08002B2CF9AE}" pid="38" name="bb20b5f81c9f47a48f8188e85aec1253">
    <vt:lpwstr>EU enlargement|45ad494a-6362-42bb-b09e-425eed7ec163</vt:lpwstr>
  </property>
  <property fmtid="{D5CDD505-2E9C-101B-9397-08002B2CF9AE}" pid="39" name="e256f556a7b748329ab47889947c7d40">
    <vt:lpwstr/>
  </property>
  <property fmtid="{D5CDD505-2E9C-101B-9397-08002B2CF9AE}" pid="40" name="ed9282a3f18446ec8c17c7829edf82dd">
    <vt:lpwstr/>
  </property>
  <property fmtid="{D5CDD505-2E9C-101B-9397-08002B2CF9AE}" pid="41" name="BZDossierProcessType">
    <vt:lpwstr/>
  </property>
  <property fmtid="{D5CDD505-2E9C-101B-9397-08002B2CF9AE}" pid="42" name="BZDossierBudgetManager">
    <vt:lpwstr/>
  </property>
  <property fmtid="{D5CDD505-2E9C-101B-9397-08002B2CF9AE}" pid="43" name="BZDossierTemplate">
    <vt:lpwstr>ReguliereKamerbrief</vt:lpwstr>
  </property>
  <property fmtid="{D5CDD505-2E9C-101B-9397-08002B2CF9AE}" pid="44" name="_docset_NoMedatataSyncRequired">
    <vt:lpwstr>False</vt:lpwstr>
  </property>
  <property fmtid="{D5CDD505-2E9C-101B-9397-08002B2CF9AE}" pid="45" name="ClassificationContentMarkingFooterShapeIds">
    <vt:lpwstr>3e004ddb,71e2736d,a6b2f7a</vt:lpwstr>
  </property>
  <property fmtid="{D5CDD505-2E9C-101B-9397-08002B2CF9AE}" pid="46" name="ClassificationContentMarkingFooterFontProps">
    <vt:lpwstr>#000000,10,Aptos</vt:lpwstr>
  </property>
  <property fmtid="{D5CDD505-2E9C-101B-9397-08002B2CF9AE}" pid="47" name="ClassificationContentMarkingFooterText">
    <vt:lpwstr>Intern gebruik</vt:lpwstr>
  </property>
  <property fmtid="{D5CDD505-2E9C-101B-9397-08002B2CF9AE}" pid="48" name="_dlc_DocIdItemGuid">
    <vt:lpwstr>3a2dec96-bac3-4ada-82bb-9dd777c2b82e</vt:lpwstr>
  </property>
  <property fmtid="{D5CDD505-2E9C-101B-9397-08002B2CF9AE}" pid="49" name="URL">
    <vt:lpwstr>https://247.plaza.buzaservices.nl/subject/PV-RK2026072026/BZ2631610/BNC%20Fiche%201%20-%20Financieel%20pakket%20Montenegro.docx, </vt:lpwstr>
  </property>
</Properties>
</file>