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592CE5" w:rsidTr="00D9561B" w14:paraId="4CD7420B" w14:textId="77777777">
        <w:trPr>
          <w:trHeight w:val="1514"/>
        </w:trPr>
        <w:tc>
          <w:tcPr>
            <w:tcW w:w="7522" w:type="dxa"/>
            <w:tcBorders>
              <w:top w:val="nil"/>
              <w:left w:val="nil"/>
              <w:bottom w:val="nil"/>
              <w:right w:val="nil"/>
            </w:tcBorders>
            <w:tcMar>
              <w:left w:w="0" w:type="dxa"/>
              <w:right w:w="0" w:type="dxa"/>
            </w:tcMar>
          </w:tcPr>
          <w:p w:rsidR="00374412" w:rsidP="00D9561B" w:rsidRDefault="00555C5E" w14:paraId="5CD99444" w14:textId="77777777">
            <w:r>
              <w:t>De v</w:t>
            </w:r>
            <w:r w:rsidR="008E3932">
              <w:t>oorzitter van de Tweede Kamer der Staten-Generaal</w:t>
            </w:r>
          </w:p>
          <w:p w:rsidR="00374412" w:rsidP="00D9561B" w:rsidRDefault="00555C5E" w14:paraId="2219D4B0" w14:textId="77777777">
            <w:r>
              <w:t>Postbus 20018</w:t>
            </w:r>
          </w:p>
          <w:p w:rsidR="008E3932" w:rsidP="00D9561B" w:rsidRDefault="00555C5E" w14:paraId="54013190"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592CE5" w:rsidTr="00FF66F9" w14:paraId="4129AE17" w14:textId="77777777">
        <w:trPr>
          <w:trHeight w:val="289" w:hRule="exact"/>
        </w:trPr>
        <w:tc>
          <w:tcPr>
            <w:tcW w:w="929" w:type="dxa"/>
          </w:tcPr>
          <w:p w:rsidRPr="00434042" w:rsidR="0005404B" w:rsidP="00FF66F9" w:rsidRDefault="00555C5E" w14:paraId="790D8CF0" w14:textId="77777777">
            <w:pPr>
              <w:rPr>
                <w:lang w:eastAsia="en-US"/>
              </w:rPr>
            </w:pPr>
            <w:r>
              <w:rPr>
                <w:lang w:eastAsia="en-US"/>
              </w:rPr>
              <w:t>Datum</w:t>
            </w:r>
          </w:p>
        </w:tc>
        <w:tc>
          <w:tcPr>
            <w:tcW w:w="6581" w:type="dxa"/>
          </w:tcPr>
          <w:p w:rsidRPr="00434042" w:rsidR="0005404B" w:rsidP="00FF66F9" w:rsidRDefault="00D005FA" w14:paraId="17E4D770" w14:textId="7FC61CF8">
            <w:pPr>
              <w:rPr>
                <w:lang w:eastAsia="en-US"/>
              </w:rPr>
            </w:pPr>
            <w:r>
              <w:rPr>
                <w:lang w:eastAsia="en-US"/>
              </w:rPr>
              <w:t>5 oktober 2026</w:t>
            </w:r>
          </w:p>
        </w:tc>
      </w:tr>
      <w:tr w:rsidR="00592CE5" w:rsidTr="00FF66F9" w14:paraId="1AEBDD8B" w14:textId="77777777">
        <w:trPr>
          <w:trHeight w:val="368"/>
        </w:trPr>
        <w:tc>
          <w:tcPr>
            <w:tcW w:w="929" w:type="dxa"/>
          </w:tcPr>
          <w:p w:rsidR="0005404B" w:rsidP="00FF66F9" w:rsidRDefault="00555C5E" w14:paraId="7708905A" w14:textId="77777777">
            <w:pPr>
              <w:rPr>
                <w:lang w:eastAsia="en-US"/>
              </w:rPr>
            </w:pPr>
            <w:r>
              <w:rPr>
                <w:lang w:eastAsia="en-US"/>
              </w:rPr>
              <w:t>Betreft</w:t>
            </w:r>
          </w:p>
        </w:tc>
        <w:tc>
          <w:tcPr>
            <w:tcW w:w="6581" w:type="dxa"/>
          </w:tcPr>
          <w:p w:rsidR="0005404B" w:rsidP="00FF66F9" w:rsidRDefault="00555C5E" w14:paraId="1E96D165" w14:textId="77777777">
            <w:pPr>
              <w:rPr>
                <w:lang w:eastAsia="en-US"/>
              </w:rPr>
            </w:pPr>
            <w:r>
              <w:rPr>
                <w:lang w:eastAsia="en-US"/>
              </w:rPr>
              <w:t>Eindrapportage herijking studentenreisproduct 2025</w:t>
            </w:r>
          </w:p>
        </w:tc>
      </w:tr>
    </w:tbl>
    <w:p w:rsidR="00592CE5" w:rsidRDefault="00592CE5" w14:paraId="659EECC5" w14:textId="42D9B4DA"/>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D005FA" w:rsidR="00592CE5" w:rsidTr="00A421A1" w14:paraId="6F32F7C8" w14:textId="77777777">
        <w:tc>
          <w:tcPr>
            <w:tcW w:w="2160" w:type="dxa"/>
          </w:tcPr>
          <w:p w:rsidRPr="00F53C9D" w:rsidR="006205C0" w:rsidP="00686AED" w:rsidRDefault="00555C5E" w14:paraId="1CEE2227" w14:textId="77777777">
            <w:pPr>
              <w:pStyle w:val="Colofonkop"/>
              <w:framePr w:hSpace="0" w:wrap="auto" w:hAnchor="text" w:vAnchor="margin" w:xAlign="left" w:yAlign="inline"/>
            </w:pPr>
            <w:r>
              <w:t>Hoger Onderwijs en Studiefinanciering</w:t>
            </w:r>
          </w:p>
          <w:p w:rsidR="006205C0" w:rsidP="00A421A1" w:rsidRDefault="00555C5E" w14:paraId="76A0EAD0" w14:textId="77777777">
            <w:pPr>
              <w:pStyle w:val="Huisstijl-Gegeven"/>
              <w:spacing w:after="0"/>
            </w:pPr>
            <w:r>
              <w:t xml:space="preserve">Rijnstraat 50 </w:t>
            </w:r>
          </w:p>
          <w:p w:rsidR="004425A7" w:rsidP="00E972A2" w:rsidRDefault="00555C5E" w14:paraId="165D13B1" w14:textId="77777777">
            <w:pPr>
              <w:pStyle w:val="Huisstijl-Gegeven"/>
              <w:spacing w:after="0"/>
            </w:pPr>
            <w:r>
              <w:t>Den Haag</w:t>
            </w:r>
          </w:p>
          <w:p w:rsidR="004425A7" w:rsidP="00E972A2" w:rsidRDefault="00555C5E" w14:paraId="0BC936F5" w14:textId="77777777">
            <w:pPr>
              <w:pStyle w:val="Huisstijl-Gegeven"/>
              <w:spacing w:after="0"/>
            </w:pPr>
            <w:r>
              <w:t>Postbus 16375</w:t>
            </w:r>
          </w:p>
          <w:p w:rsidR="004425A7" w:rsidP="00E972A2" w:rsidRDefault="00555C5E" w14:paraId="414E1DAF" w14:textId="77777777">
            <w:pPr>
              <w:pStyle w:val="Huisstijl-Gegeven"/>
              <w:spacing w:after="0"/>
            </w:pPr>
            <w:r>
              <w:t>2500 BJ Den Haag</w:t>
            </w:r>
          </w:p>
          <w:p w:rsidR="004425A7" w:rsidP="00E972A2" w:rsidRDefault="00555C5E" w14:paraId="6CD5A3C1" w14:textId="77777777">
            <w:pPr>
              <w:pStyle w:val="Huisstijl-Gegeven"/>
              <w:spacing w:after="90"/>
            </w:pPr>
            <w:r>
              <w:t>www.rijksoverheid.nl</w:t>
            </w:r>
          </w:p>
          <w:p w:rsidRPr="0086274A" w:rsidR="006205C0" w:rsidP="00A421A1" w:rsidRDefault="006205C0" w14:paraId="287A198D" w14:textId="11CE101F">
            <w:pPr>
              <w:spacing w:line="180" w:lineRule="exact"/>
              <w:rPr>
                <w:sz w:val="13"/>
                <w:szCs w:val="13"/>
                <w:lang w:val="en-US"/>
              </w:rPr>
            </w:pPr>
          </w:p>
        </w:tc>
      </w:tr>
      <w:tr w:rsidRPr="00D005FA" w:rsidR="00592CE5" w:rsidTr="00A421A1" w14:paraId="1299F504" w14:textId="77777777">
        <w:trPr>
          <w:trHeight w:val="200" w:hRule="exact"/>
        </w:trPr>
        <w:tc>
          <w:tcPr>
            <w:tcW w:w="2160" w:type="dxa"/>
          </w:tcPr>
          <w:p w:rsidRPr="0086274A" w:rsidR="006205C0" w:rsidP="00A421A1" w:rsidRDefault="006205C0" w14:paraId="1158B164" w14:textId="77777777">
            <w:pPr>
              <w:spacing w:after="90" w:line="180" w:lineRule="exact"/>
              <w:rPr>
                <w:sz w:val="13"/>
                <w:szCs w:val="13"/>
                <w:lang w:val="en-US"/>
              </w:rPr>
            </w:pPr>
          </w:p>
        </w:tc>
      </w:tr>
      <w:tr w:rsidR="00592CE5" w:rsidTr="00A421A1" w14:paraId="2F79868A" w14:textId="77777777">
        <w:trPr>
          <w:trHeight w:val="450"/>
        </w:trPr>
        <w:tc>
          <w:tcPr>
            <w:tcW w:w="2160" w:type="dxa"/>
          </w:tcPr>
          <w:p w:rsidR="00F51A76" w:rsidP="00A421A1" w:rsidRDefault="00555C5E" w14:paraId="375949F5" w14:textId="77777777">
            <w:pPr>
              <w:spacing w:line="180" w:lineRule="exact"/>
              <w:rPr>
                <w:b/>
                <w:sz w:val="13"/>
                <w:szCs w:val="13"/>
              </w:rPr>
            </w:pPr>
            <w:r>
              <w:rPr>
                <w:b/>
                <w:sz w:val="13"/>
                <w:szCs w:val="13"/>
              </w:rPr>
              <w:t>Onze referentie</w:t>
            </w:r>
          </w:p>
          <w:p w:rsidRPr="00FA7882" w:rsidR="006205C0" w:rsidP="00215356" w:rsidRDefault="002C3F39" w14:paraId="77771BFC" w14:textId="2E27AFA3">
            <w:pPr>
              <w:spacing w:line="180" w:lineRule="exact"/>
              <w:rPr>
                <w:sz w:val="13"/>
                <w:szCs w:val="13"/>
              </w:rPr>
            </w:pPr>
            <w:r w:rsidRPr="002C3F39">
              <w:rPr>
                <w:sz w:val="13"/>
                <w:szCs w:val="13"/>
              </w:rPr>
              <w:t>66513629</w:t>
            </w:r>
          </w:p>
        </w:tc>
      </w:tr>
      <w:tr w:rsidR="00592CE5" w:rsidTr="00D130C0" w14:paraId="640B1972" w14:textId="77777777">
        <w:trPr>
          <w:trHeight w:val="113"/>
        </w:trPr>
        <w:tc>
          <w:tcPr>
            <w:tcW w:w="2160" w:type="dxa"/>
          </w:tcPr>
          <w:p w:rsidRPr="00C5333A" w:rsidR="006205C0" w:rsidP="00D36088" w:rsidRDefault="00555C5E" w14:paraId="642B1680" w14:textId="77777777">
            <w:pPr>
              <w:tabs>
                <w:tab w:val="center" w:pos="1080"/>
              </w:tabs>
              <w:spacing w:line="180" w:lineRule="exact"/>
              <w:rPr>
                <w:sz w:val="13"/>
                <w:szCs w:val="13"/>
              </w:rPr>
            </w:pPr>
            <w:r>
              <w:rPr>
                <w:b/>
                <w:sz w:val="13"/>
                <w:szCs w:val="13"/>
              </w:rPr>
              <w:t>Bijlagen</w:t>
            </w:r>
          </w:p>
        </w:tc>
      </w:tr>
      <w:tr w:rsidR="00592CE5" w:rsidTr="00D130C0" w14:paraId="4C373C4D" w14:textId="77777777">
        <w:trPr>
          <w:trHeight w:val="113"/>
        </w:trPr>
        <w:tc>
          <w:tcPr>
            <w:tcW w:w="2160" w:type="dxa"/>
          </w:tcPr>
          <w:p w:rsidRPr="00D74F66" w:rsidR="006205C0" w:rsidP="00A421A1" w:rsidRDefault="00555C5E" w14:paraId="18DC084D" w14:textId="06807568">
            <w:pPr>
              <w:spacing w:after="90" w:line="180" w:lineRule="exact"/>
              <w:rPr>
                <w:sz w:val="13"/>
              </w:rPr>
            </w:pPr>
            <w:r>
              <w:rPr>
                <w:sz w:val="13"/>
              </w:rPr>
              <w:t>1</w:t>
            </w:r>
            <w:r w:rsidR="005F1050">
              <w:rPr>
                <w:sz w:val="13"/>
              </w:rPr>
              <w:t xml:space="preserve">: Rapport herijkingsonderzoek </w:t>
            </w:r>
          </w:p>
        </w:tc>
      </w:tr>
    </w:tbl>
    <w:p w:rsidR="00B17158" w:rsidP="00B17158" w:rsidRDefault="005E747F" w14:paraId="47F349D0" w14:textId="2570C79C">
      <w:r>
        <w:t>Hierbij bied ik uw Kamer de publieksversie</w:t>
      </w:r>
      <w:r w:rsidR="006A37CF">
        <w:t xml:space="preserve"> aan</w:t>
      </w:r>
      <w:r>
        <w:t xml:space="preserve"> van het herijkingsonderzoek voor het studentenreisproduct over het jaar 2025, zoals dit ook is toegezegd in reactie op de motie Abdi/De Hoop.</w:t>
      </w:r>
      <w:r>
        <w:rPr>
          <w:rStyle w:val="Voetnootmarkering"/>
        </w:rPr>
        <w:footnoteReference w:id="1"/>
      </w:r>
      <w:r>
        <w:t xml:space="preserve"> Uit het onderzoek is gebleken dat </w:t>
      </w:r>
      <w:r w:rsidR="00B17158">
        <w:t>studenten gemiddeld minder reizen dan in het herijkingsonderzoek over 2023/2024.</w:t>
      </w:r>
      <w:r w:rsidR="006A37CF">
        <w:t xml:space="preserve"> Ik start de brief met een </w:t>
      </w:r>
      <w:r w:rsidR="00B17158">
        <w:t>nadere toelichting over het studentenreisproduct en de uitgaven van de overheid hieraan</w:t>
      </w:r>
      <w:r w:rsidR="006A37CF">
        <w:t xml:space="preserve">, om vervolgens in te gaan op het herijkingsonderzoek. </w:t>
      </w:r>
    </w:p>
    <w:p w:rsidR="00B17158" w:rsidP="00B17158" w:rsidRDefault="00B17158" w14:paraId="5B6390FE" w14:textId="77777777"/>
    <w:p w:rsidR="00B17158" w:rsidP="00B17158" w:rsidRDefault="00B17158" w14:paraId="15BE57B6" w14:textId="77777777">
      <w:r w:rsidRPr="0086274A">
        <w:rPr>
          <w:b/>
          <w:bCs/>
        </w:rPr>
        <w:t>Studentenreisproduct</w:t>
      </w:r>
      <w:r w:rsidRPr="0086274A">
        <w:t xml:space="preserve"> </w:t>
      </w:r>
    </w:p>
    <w:p w:rsidR="00B17158" w:rsidP="00B17158" w:rsidRDefault="00B17158" w14:paraId="4237A920" w14:textId="77777777">
      <w:r w:rsidRPr="0086274A">
        <w:t>Voor het studentenreisproduct heeft de Staat een privaatrechtelijke overeenkomst gesloten met verenigingen van ov-bedrijven</w:t>
      </w:r>
      <w:r>
        <w:rPr>
          <w:rStyle w:val="Voetnootmarkering"/>
        </w:rPr>
        <w:footnoteReference w:id="2"/>
      </w:r>
      <w:r w:rsidRPr="0086274A">
        <w:t xml:space="preserve"> en NS. Deze overeenkomst geldt sinds 2010 voor onbepaalde tijd. Het contract beschrijft de voorwaarden voor het studentenreisproduct, het type vervoer dat gecontracteerd is binnen het studentenreisproduct en de vergoeding die OCW jaarlijks aan de ov-bedrijven betaalt voor de geleverde diensten. </w:t>
      </w:r>
    </w:p>
    <w:p w:rsidR="00B17158" w:rsidP="00B17158" w:rsidRDefault="00B17158" w14:paraId="6C5FF974" w14:textId="77777777"/>
    <w:p w:rsidR="00B17158" w:rsidP="00B17158" w:rsidRDefault="00B17158" w14:paraId="38F1C643" w14:textId="77777777">
      <w:r w:rsidRPr="0086274A">
        <w:rPr>
          <w:b/>
          <w:bCs/>
        </w:rPr>
        <w:t>Uitgaven overheid voor het studentenreisproduct</w:t>
      </w:r>
      <w:r w:rsidRPr="0086274A">
        <w:t xml:space="preserve"> </w:t>
      </w:r>
    </w:p>
    <w:p w:rsidR="00B17158" w:rsidP="00B17158" w:rsidRDefault="00B17158" w14:paraId="2E4FBA34" w14:textId="77777777">
      <w:r w:rsidRPr="0086274A">
        <w:t>De totale contractprijs, dus het bedrag dat OCW jaarlijks betaalt aan de ov</w:t>
      </w:r>
      <w:r>
        <w:t>-</w:t>
      </w:r>
      <w:r w:rsidRPr="0086274A">
        <w:t xml:space="preserve">bedrijven, wordt grofweg beïnvloed door twee factoren: </w:t>
      </w:r>
    </w:p>
    <w:p w:rsidR="00B17158" w:rsidP="00B17158" w:rsidRDefault="00B17158" w14:paraId="43A729C4" w14:textId="77777777">
      <w:pPr>
        <w:pStyle w:val="Lijstalinea"/>
        <w:numPr>
          <w:ilvl w:val="0"/>
          <w:numId w:val="16"/>
        </w:numPr>
      </w:pPr>
      <w:r w:rsidRPr="0086274A">
        <w:t>Het aantal studenten met een geactiveerd studentenreisproduct (kaarthouders, q)</w:t>
      </w:r>
      <w:r>
        <w:t>;</w:t>
      </w:r>
      <w:r w:rsidRPr="0086274A">
        <w:t xml:space="preserve"> </w:t>
      </w:r>
    </w:p>
    <w:p w:rsidR="00B17158" w:rsidP="00B17158" w:rsidRDefault="00B17158" w14:paraId="7EFA2BFA" w14:textId="77777777">
      <w:pPr>
        <w:pStyle w:val="Lijstalinea"/>
        <w:numPr>
          <w:ilvl w:val="0"/>
          <w:numId w:val="16"/>
        </w:numPr>
      </w:pPr>
      <w:r w:rsidRPr="0086274A">
        <w:t>De prijs per kaart (p)</w:t>
      </w:r>
      <w:r>
        <w:t>.</w:t>
      </w:r>
      <w:r w:rsidRPr="0086274A">
        <w:t xml:space="preserve"> </w:t>
      </w:r>
    </w:p>
    <w:p w:rsidR="00B17158" w:rsidP="00B17158" w:rsidRDefault="00B17158" w14:paraId="5E76059D" w14:textId="77777777"/>
    <w:p w:rsidR="00B17158" w:rsidP="00B17158" w:rsidRDefault="00B17158" w14:paraId="70C2322C" w14:textId="77777777">
      <w:r w:rsidRPr="0086274A">
        <w:t>Het aantal kaarthouders hangt af van het aantal studenten. Als er meer studenten studeren, zijn er</w:t>
      </w:r>
      <w:r>
        <w:t xml:space="preserve"> (in potentie) </w:t>
      </w:r>
      <w:r w:rsidRPr="0086274A">
        <w:t>meer kaarthouders</w:t>
      </w:r>
      <w:r>
        <w:rPr>
          <w:rStyle w:val="Voetnootmarkering"/>
        </w:rPr>
        <w:footnoteReference w:id="3"/>
      </w:r>
      <w:r w:rsidRPr="0086274A">
        <w:t>. Als er minder studenten studeren, zijn er minder kaarthouders. Het aantal kaarthouders waar OCW de vergoeding over moet betalen, volgt daarmee de ontwikkeling in de studentenaantallen op mbo</w:t>
      </w:r>
      <w:r>
        <w:t>-</w:t>
      </w:r>
      <w:r w:rsidRPr="0086274A">
        <w:t xml:space="preserve">instellingen, hogescholen en universiteiten. </w:t>
      </w:r>
    </w:p>
    <w:p w:rsidR="00B17158" w:rsidP="00B17158" w:rsidRDefault="00B17158" w14:paraId="650BAF87" w14:textId="77777777"/>
    <w:p w:rsidR="00D3264B" w:rsidP="00B17158" w:rsidRDefault="00B17158" w14:paraId="5D531F89" w14:textId="77777777">
      <w:r w:rsidRPr="0086274A">
        <w:lastRenderedPageBreak/>
        <w:t xml:space="preserve">In </w:t>
      </w:r>
      <w:r>
        <w:t>de overeenkomst</w:t>
      </w:r>
      <w:r w:rsidRPr="0086274A">
        <w:t xml:space="preserve"> zijn afspraken gemaakt </w:t>
      </w:r>
      <w:r>
        <w:t>over</w:t>
      </w:r>
      <w:r w:rsidRPr="0086274A">
        <w:t xml:space="preserve"> de prijs per kaart. Jaarlijks wordt de kaartprijs geïndexeerd en </w:t>
      </w:r>
      <w:r>
        <w:t>eens per</w:t>
      </w:r>
      <w:r w:rsidRPr="0086274A">
        <w:t xml:space="preserve"> drie jaar wordt via een herijkingsonderzoek de prijs aangepast op basis van het daadwerkelijke reisgedrag</w:t>
      </w:r>
      <w:r>
        <w:t xml:space="preserve"> van studenten</w:t>
      </w:r>
      <w:r w:rsidRPr="0086274A">
        <w:t xml:space="preserve">. Ik licht dat hierna </w:t>
      </w:r>
      <w:r>
        <w:t xml:space="preserve">nader </w:t>
      </w:r>
      <w:r w:rsidRPr="0086274A">
        <w:t xml:space="preserve">toe. </w:t>
      </w:r>
      <w:r w:rsidR="0095171E">
        <w:t xml:space="preserve">Vervolgens bepaalt het </w:t>
      </w:r>
      <w:r w:rsidRPr="0086274A">
        <w:t>aantal kaarthouders maal</w:t>
      </w:r>
      <w:r>
        <w:t xml:space="preserve"> </w:t>
      </w:r>
      <w:r w:rsidRPr="0086274A">
        <w:t xml:space="preserve">de kaartprijs de vergoeding van OCW aan de </w:t>
      </w:r>
    </w:p>
    <w:p w:rsidR="00B17158" w:rsidP="00B17158" w:rsidRDefault="00B17158" w14:paraId="0C59BD77" w14:textId="009488DC">
      <w:proofErr w:type="gramStart"/>
      <w:r w:rsidRPr="0086274A">
        <w:t>ov</w:t>
      </w:r>
      <w:proofErr w:type="gramEnd"/>
      <w:r w:rsidRPr="0086274A">
        <w:t xml:space="preserve">-bedrijven voor het gebruik van het studentenreisproduct en daarmee het bedrag dat studenten </w:t>
      </w:r>
      <w:r>
        <w:t>voorwaardelijk moeten lenen (</w:t>
      </w:r>
      <w:r w:rsidRPr="0086274A">
        <w:t>prestatiebeurs</w:t>
      </w:r>
      <w:r>
        <w:t>)</w:t>
      </w:r>
      <w:r w:rsidRPr="0086274A">
        <w:t xml:space="preserve"> </w:t>
      </w:r>
      <w:r>
        <w:t xml:space="preserve">bij DUO </w:t>
      </w:r>
      <w:r w:rsidRPr="0086274A">
        <w:t>voor hun studentenreisproduct.</w:t>
      </w:r>
      <w:r>
        <w:rPr>
          <w:rStyle w:val="Voetnootmarkering"/>
        </w:rPr>
        <w:footnoteReference w:id="4"/>
      </w:r>
      <w:r w:rsidRPr="0086274A">
        <w:t xml:space="preserve"> </w:t>
      </w:r>
    </w:p>
    <w:p w:rsidR="00B17158" w:rsidP="00B17158" w:rsidRDefault="00B17158" w14:paraId="69C63586" w14:textId="77777777"/>
    <w:p w:rsidR="00B17158" w:rsidP="00B17158" w:rsidRDefault="00B17158" w14:paraId="740057D4" w14:textId="77777777">
      <w:r w:rsidRPr="0086274A">
        <w:rPr>
          <w:b/>
          <w:bCs/>
        </w:rPr>
        <w:t>Herijkingsonderzoek studentenreisproduct: meten van het</w:t>
      </w:r>
      <w:r w:rsidRPr="0086274A">
        <w:t xml:space="preserve"> </w:t>
      </w:r>
      <w:r w:rsidRPr="0086274A">
        <w:rPr>
          <w:b/>
          <w:bCs/>
        </w:rPr>
        <w:t xml:space="preserve">reisgedrag </w:t>
      </w:r>
    </w:p>
    <w:p w:rsidR="00D3264B" w:rsidP="00B17158" w:rsidRDefault="00B17158" w14:paraId="37C20B7B" w14:textId="77777777">
      <w:r w:rsidRPr="0086274A">
        <w:t xml:space="preserve">Eens in de drie jaar laten OCW en de ov-bedrijven een zogenaamd herijkingsonderzoek uitvoeren. Dit is een afspraak uit </w:t>
      </w:r>
      <w:r>
        <w:t>de</w:t>
      </w:r>
      <w:r w:rsidRPr="0086274A">
        <w:t xml:space="preserve"> eerdergenoemde </w:t>
      </w:r>
      <w:r>
        <w:t>overeenkomst</w:t>
      </w:r>
      <w:r w:rsidRPr="0086274A">
        <w:t>. Hiermee wordt het gemiddeld aantal gereisde kilometers per kaartcategorie</w:t>
      </w:r>
      <w:r>
        <w:rPr>
          <w:rStyle w:val="Voetnootmarkering"/>
        </w:rPr>
        <w:footnoteReference w:id="5"/>
      </w:r>
      <w:r w:rsidRPr="0086274A">
        <w:t xml:space="preserve"> berekend. Het aantal afgelegde kilometers wordt op basis van</w:t>
      </w:r>
    </w:p>
    <w:p w:rsidR="00B17158" w:rsidP="00B17158" w:rsidRDefault="00510AD1" w14:paraId="4C364D69" w14:textId="04248562">
      <w:proofErr w:type="gramStart"/>
      <w:r>
        <w:t>ov</w:t>
      </w:r>
      <w:proofErr w:type="gramEnd"/>
      <w:r w:rsidR="00B17158">
        <w:t>-</w:t>
      </w:r>
      <w:r w:rsidRPr="0086274A" w:rsidR="00B17158">
        <w:t xml:space="preserve">chipkaartdata gemeten. OCW en de </w:t>
      </w:r>
      <w:r w:rsidR="0014411A">
        <w:t>ov</w:t>
      </w:r>
      <w:r w:rsidRPr="0086274A" w:rsidR="00B17158">
        <w:t>-bedrijven laten dit onderzoek uitvoeren door een onafhankelijk onderzoeksbureau. Wanneer de stijging of daling van het aantal afgelegde kilometers significant is (≥5%)</w:t>
      </w:r>
      <w:r w:rsidR="00B17158">
        <w:rPr>
          <w:rStyle w:val="Voetnootmarkering"/>
        </w:rPr>
        <w:footnoteReference w:id="6"/>
      </w:r>
      <w:r w:rsidRPr="0086274A" w:rsidR="00B17158">
        <w:t>, leidt dit tot aanpassingen van de kaartprijs. Deze aanpassingen vinden plaats naast de reguliere indexatie. Hiermee wordt geborgd dat de prijs per kaart overeenkomt met het objectief gemeten reisgedrag van studenten.</w:t>
      </w:r>
    </w:p>
    <w:p w:rsidR="00B17158" w:rsidP="00B17158" w:rsidRDefault="00B17158" w14:paraId="5A44967A" w14:textId="77777777"/>
    <w:p w:rsidR="00B17158" w:rsidP="00B17158" w:rsidRDefault="00B17158" w14:paraId="144D9E4A" w14:textId="77777777">
      <w:r>
        <w:t xml:space="preserve">Op verzoek van de ov-bedrijven is dit onderzoek over het kalenderjaar 2025 uitgevoerd, en niet over de periode juli 2025- juni 2026 </w:t>
      </w:r>
      <w:proofErr w:type="gramStart"/>
      <w:r>
        <w:t>conform</w:t>
      </w:r>
      <w:proofErr w:type="gramEnd"/>
      <w:r>
        <w:t xml:space="preserve"> eerdere herijkingsonderzoeken. Op deze wijze kunnen de ov-bedrijven de gevolgen van de herijking beter verwerken in hun bedrijfsvoering. In dit herijkingsonderzoek is dus gekeken naar de gemaakte reizen van alle studenten met het studentenreisproduct in het kalenderjaar 2025. De resultaten die nu bekend zijn worden verwerkt in de vergoeding die per 1 januari 2027 zal gelden.</w:t>
      </w:r>
    </w:p>
    <w:p w:rsidR="00B17158" w:rsidP="00B17158" w:rsidRDefault="00B17158" w14:paraId="00BE39CE" w14:textId="77777777"/>
    <w:p w:rsidR="00D174DF" w:rsidP="00B17158" w:rsidRDefault="00B17158" w14:paraId="15D0B0C3" w14:textId="69BA942B">
      <w:r>
        <w:t xml:space="preserve">Uit dit onderzoek blijkt dat studenten gemiddeld minder zijn gaan reizen in elke categorie. In de verschillende categorieën gaat het om </w:t>
      </w:r>
      <w:r w:rsidRPr="00D174DF">
        <w:t xml:space="preserve">verschillen tussen de </w:t>
      </w:r>
      <w:r w:rsidRPr="00D174DF" w:rsidR="00D174DF">
        <w:br/>
        <w:t xml:space="preserve">- </w:t>
      </w:r>
      <w:r w:rsidRPr="00D174DF">
        <w:t xml:space="preserve">1,2% en </w:t>
      </w:r>
      <w:r w:rsidRPr="00D174DF" w:rsidR="00D174DF">
        <w:t xml:space="preserve">- </w:t>
      </w:r>
      <w:r w:rsidRPr="00D174DF">
        <w:t>10% ten opzichte van de basiskilometers na het vorige herijkingsonderzoek.</w:t>
      </w:r>
      <w:r>
        <w:t xml:space="preserve"> </w:t>
      </w:r>
    </w:p>
    <w:p w:rsidR="00D174DF" w:rsidP="00B17158" w:rsidRDefault="00D174DF" w14:paraId="2F187088" w14:textId="77777777"/>
    <w:p w:rsidR="00B17158" w:rsidP="00B17158" w:rsidRDefault="00D174DF" w14:paraId="7C288F54" w14:textId="6004001A">
      <w:r>
        <w:t xml:space="preserve">Zoals hiervoor is aangegeven resulteren deze </w:t>
      </w:r>
      <w:r w:rsidR="00B17158">
        <w:t xml:space="preserve">uitkomsten </w:t>
      </w:r>
      <w:r>
        <w:t xml:space="preserve">vervolgens in </w:t>
      </w:r>
      <w:r w:rsidR="00B17158">
        <w:t xml:space="preserve">een lagere vergoeding die het ministerie zal betalen aan ov-bedrijven per 1 januari 2027 (exclusief de jaarlijkse indexatie). Op dit moment is nog niet bekend wat de exacte financiële </w:t>
      </w:r>
      <w:r w:rsidRPr="00D174DF" w:rsidR="00B17158">
        <w:t>impact zal zijn op de voorlopige vergoeding die ov-bedrijven over het jaar 2027</w:t>
      </w:r>
      <w:r w:rsidRPr="00D174DF">
        <w:t xml:space="preserve"> gaan ontvangen</w:t>
      </w:r>
      <w:r w:rsidRPr="00D174DF" w:rsidR="00B17158">
        <w:t xml:space="preserve">. </w:t>
      </w:r>
      <w:r w:rsidRPr="00D174DF" w:rsidR="00410CE1">
        <w:t>Dat komt</w:t>
      </w:r>
      <w:r w:rsidR="00410CE1">
        <w:t xml:space="preserve"> omdat deze vergoeding ook afhankelijk is van andere variabelen (zoals prijsontwikkelingen) die voor de jaarlijkse indexatie zorgen. Die zijn nu nog niet allemaal bekend.</w:t>
      </w:r>
    </w:p>
    <w:p w:rsidR="00410CE1" w:rsidP="00B17158" w:rsidRDefault="00410CE1" w14:paraId="0128FDF8" w14:textId="77777777"/>
    <w:p w:rsidR="00B17158" w:rsidP="00B17158" w:rsidRDefault="00B17158" w14:paraId="3B0F9273" w14:textId="77777777">
      <w:r>
        <w:lastRenderedPageBreak/>
        <w:t>Over het kalenderjaar 2028 vindt het volgende herijkingsonderzoek plaats. De resultaten van deze herijking worden verwerkt in de vergoeding per 1 januari 2030.</w:t>
      </w:r>
    </w:p>
    <w:p w:rsidR="00B17158" w:rsidP="00B17158" w:rsidRDefault="00B17158" w14:paraId="5F720A7C" w14:textId="77777777"/>
    <w:p w:rsidRPr="00FB384D" w:rsidR="00B17158" w:rsidP="00B17158" w:rsidRDefault="00B17158" w14:paraId="3509268B" w14:textId="77777777">
      <w:pPr>
        <w:rPr>
          <w:b/>
          <w:bCs/>
        </w:rPr>
      </w:pPr>
      <w:r>
        <w:rPr>
          <w:b/>
          <w:bCs/>
        </w:rPr>
        <w:t xml:space="preserve">Kamervragen lid Stoffer (SGP) over geldigheid studentenreisproduct bij </w:t>
      </w:r>
      <w:proofErr w:type="spellStart"/>
      <w:r>
        <w:rPr>
          <w:b/>
          <w:bCs/>
        </w:rPr>
        <w:t>vraaggestuurd</w:t>
      </w:r>
      <w:proofErr w:type="spellEnd"/>
      <w:r>
        <w:rPr>
          <w:b/>
          <w:bCs/>
        </w:rPr>
        <w:t xml:space="preserve"> publiek vervoer en open toegang.</w:t>
      </w:r>
    </w:p>
    <w:p w:rsidR="00B17158" w:rsidP="00B17158" w:rsidRDefault="00B17158" w14:paraId="3B1860C3" w14:textId="77777777">
      <w:proofErr w:type="gramStart"/>
      <w:r>
        <w:t>Tevens</w:t>
      </w:r>
      <w:proofErr w:type="gramEnd"/>
      <w:r>
        <w:t xml:space="preserve"> wil ik van deze </w:t>
      </w:r>
      <w:r w:rsidRPr="009277D0">
        <w:t xml:space="preserve">gelegenheid gebruik maken om u verder te informeren naar aanleiding van Kamervragen van het lid Stoffer over de geldigheid van het studentenreisproduct bij </w:t>
      </w:r>
      <w:proofErr w:type="spellStart"/>
      <w:r w:rsidRPr="009277D0">
        <w:t>vraaggestuurd</w:t>
      </w:r>
      <w:proofErr w:type="spellEnd"/>
      <w:r w:rsidRPr="009277D0">
        <w:t xml:space="preserve"> publiek vervoer en open toegang</w:t>
      </w:r>
      <w:r>
        <w:t>.</w:t>
      </w:r>
      <w:r>
        <w:rPr>
          <w:rStyle w:val="Voetnootmarkering"/>
        </w:rPr>
        <w:footnoteReference w:id="7"/>
      </w:r>
      <w:r>
        <w:t xml:space="preserve"> In antwoord daarop heb ik aangegeven uw Kamer na de zomer te informeren over de voortgang van het gesprek tussen het ministerie en de ov-bedrijven over de reikwijdte van het contract met betrekking tot open toegang-treinvervoer en de </w:t>
      </w:r>
      <w:proofErr w:type="spellStart"/>
      <w:r>
        <w:t>vraaggestuurd</w:t>
      </w:r>
      <w:proofErr w:type="spellEnd"/>
      <w:r>
        <w:t xml:space="preserve"> publiek vervoer. De gesprekken hierover lopen nog en ik zal op korte termijn hier nog geen conclusies aan kunnen verbinden. Zodra er meer duidelijkheid is, zal ik uw Kamer zo spoedig mogelijk informeren.</w:t>
      </w:r>
    </w:p>
    <w:p w:rsidR="00B17158" w:rsidP="00B17158" w:rsidRDefault="00B17158" w14:paraId="63F98EA9" w14:textId="77777777">
      <w:r w:rsidRPr="007851C4">
        <w:t xml:space="preserve"> </w:t>
      </w:r>
    </w:p>
    <w:p w:rsidR="00B17158" w:rsidP="00B17158" w:rsidRDefault="00B17158" w14:paraId="77E2D31E" w14:textId="77777777"/>
    <w:p w:rsidR="00B17158" w:rsidP="00B17158" w:rsidRDefault="00B17158" w14:paraId="53CA0B0D" w14:textId="77777777">
      <w:r>
        <w:t>De minister van Onderwijs, Cultuur en Wetenschap,</w:t>
      </w:r>
    </w:p>
    <w:p w:rsidR="00B17158" w:rsidP="00B17158" w:rsidRDefault="00B17158" w14:paraId="0916D3F5" w14:textId="77777777"/>
    <w:p w:rsidR="00B17158" w:rsidP="00B17158" w:rsidRDefault="00B17158" w14:paraId="4BCE1680" w14:textId="77777777"/>
    <w:p w:rsidR="00B17158" w:rsidP="00B17158" w:rsidRDefault="00B17158" w14:paraId="3C4204B1" w14:textId="77777777"/>
    <w:p w:rsidR="00B17158" w:rsidP="00B17158" w:rsidRDefault="00B17158" w14:paraId="4BBACC1F" w14:textId="77777777"/>
    <w:p w:rsidR="00D3264B" w:rsidP="00B17158" w:rsidRDefault="00D3264B" w14:paraId="1D363D29" w14:textId="77777777"/>
    <w:p w:rsidR="00B17158" w:rsidP="00B17158" w:rsidRDefault="00B17158" w14:paraId="5835A896" w14:textId="77777777">
      <w:r w:rsidRPr="006C6CF8">
        <w:rPr>
          <w:lang w:eastAsia="en-US"/>
        </w:rPr>
        <w:t xml:space="preserve">Rianne </w:t>
      </w:r>
      <w:proofErr w:type="spellStart"/>
      <w:r w:rsidRPr="006C6CF8">
        <w:rPr>
          <w:lang w:eastAsia="en-US"/>
        </w:rPr>
        <w:t>Letschert</w:t>
      </w:r>
      <w:proofErr w:type="spellEnd"/>
    </w:p>
    <w:p w:rsidR="00B17158" w:rsidP="00B17158" w:rsidRDefault="00B17158" w14:paraId="1D916ED7" w14:textId="77777777"/>
    <w:p w:rsidR="00B17158" w:rsidP="00B17158" w:rsidRDefault="00B17158" w14:paraId="6F55FA9B" w14:textId="77777777"/>
    <w:p w:rsidRPr="00820DDA" w:rsidR="00B17158" w:rsidP="00B17158" w:rsidRDefault="00B17158" w14:paraId="507BF79B" w14:textId="77777777">
      <w:pPr>
        <w:spacing w:line="240" w:lineRule="auto"/>
      </w:pPr>
    </w:p>
    <w:p w:rsidRPr="00820DDA" w:rsidR="00820DDA" w:rsidP="00B17158" w:rsidRDefault="00820DDA" w14:paraId="5BEC6337" w14:textId="3ED6D358"/>
    <w:sectPr w:rsidRPr="00820DDA" w:rsidR="00820DDA" w:rsidSect="003C22B4">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8AA2A" w14:textId="77777777" w:rsidR="00295006" w:rsidRDefault="00295006">
      <w:r>
        <w:separator/>
      </w:r>
    </w:p>
    <w:p w14:paraId="0C84E394" w14:textId="77777777" w:rsidR="00295006" w:rsidRDefault="00295006"/>
  </w:endnote>
  <w:endnote w:type="continuationSeparator" w:id="0">
    <w:p w14:paraId="728503A4" w14:textId="77777777" w:rsidR="00295006" w:rsidRDefault="00295006">
      <w:r>
        <w:continuationSeparator/>
      </w:r>
    </w:p>
    <w:p w14:paraId="73E98D8E" w14:textId="77777777" w:rsidR="00295006" w:rsidRDefault="002950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B8C63"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592CE5" w14:paraId="331BFB47" w14:textId="77777777" w:rsidTr="004C7E1D">
      <w:trPr>
        <w:trHeight w:hRule="exact" w:val="357"/>
      </w:trPr>
      <w:tc>
        <w:tcPr>
          <w:tcW w:w="7603" w:type="dxa"/>
        </w:tcPr>
        <w:p w14:paraId="12D5B10C" w14:textId="77777777" w:rsidR="002F71BB" w:rsidRPr="004C7E1D" w:rsidRDefault="002F71BB" w:rsidP="004C7E1D">
          <w:pPr>
            <w:spacing w:line="180" w:lineRule="exact"/>
            <w:rPr>
              <w:sz w:val="13"/>
              <w:szCs w:val="13"/>
            </w:rPr>
          </w:pPr>
        </w:p>
      </w:tc>
      <w:tc>
        <w:tcPr>
          <w:tcW w:w="2172" w:type="dxa"/>
        </w:tcPr>
        <w:p w14:paraId="2AF5CF3C" w14:textId="3094EAFC" w:rsidR="002F71BB" w:rsidRPr="004C7E1D" w:rsidRDefault="00555C5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005FA">
            <w:rPr>
              <w:szCs w:val="13"/>
            </w:rPr>
            <w:t>3</w:t>
          </w:r>
          <w:r w:rsidRPr="004C7E1D">
            <w:rPr>
              <w:szCs w:val="13"/>
            </w:rPr>
            <w:fldChar w:fldCharType="end"/>
          </w:r>
        </w:p>
      </w:tc>
    </w:tr>
  </w:tbl>
  <w:p w14:paraId="53839B66"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592CE5" w14:paraId="0D0966DB" w14:textId="77777777" w:rsidTr="004C7E1D">
      <w:trPr>
        <w:trHeight w:hRule="exact" w:val="357"/>
      </w:trPr>
      <w:tc>
        <w:tcPr>
          <w:tcW w:w="7709" w:type="dxa"/>
        </w:tcPr>
        <w:p w14:paraId="285088CF" w14:textId="77777777" w:rsidR="00D17084" w:rsidRPr="004C7E1D" w:rsidRDefault="00D17084" w:rsidP="004C7E1D">
          <w:pPr>
            <w:spacing w:line="180" w:lineRule="exact"/>
            <w:rPr>
              <w:sz w:val="13"/>
              <w:szCs w:val="13"/>
            </w:rPr>
          </w:pPr>
        </w:p>
      </w:tc>
      <w:tc>
        <w:tcPr>
          <w:tcW w:w="2060" w:type="dxa"/>
        </w:tcPr>
        <w:p w14:paraId="349D2E63" w14:textId="41BCCAEF" w:rsidR="00D17084" w:rsidRPr="004C7E1D" w:rsidRDefault="00555C5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005FA">
            <w:rPr>
              <w:szCs w:val="13"/>
            </w:rPr>
            <w:t>3</w:t>
          </w:r>
          <w:r w:rsidRPr="004C7E1D">
            <w:rPr>
              <w:szCs w:val="13"/>
            </w:rPr>
            <w:fldChar w:fldCharType="end"/>
          </w:r>
        </w:p>
      </w:tc>
    </w:tr>
  </w:tbl>
  <w:p w14:paraId="3CBB9FB3"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2935" w14:textId="77777777" w:rsidR="00295006" w:rsidRDefault="00295006">
      <w:r>
        <w:separator/>
      </w:r>
    </w:p>
    <w:p w14:paraId="0A91A4EF" w14:textId="77777777" w:rsidR="00295006" w:rsidRDefault="00295006"/>
  </w:footnote>
  <w:footnote w:type="continuationSeparator" w:id="0">
    <w:p w14:paraId="5C25E602" w14:textId="77777777" w:rsidR="00295006" w:rsidRDefault="00295006">
      <w:r>
        <w:continuationSeparator/>
      </w:r>
    </w:p>
    <w:p w14:paraId="34F5BDDC" w14:textId="77777777" w:rsidR="00295006" w:rsidRDefault="00295006"/>
  </w:footnote>
  <w:footnote w:id="1">
    <w:p w14:paraId="5D560010" w14:textId="77777777" w:rsidR="005E747F" w:rsidRDefault="005E747F" w:rsidP="00812670">
      <w:pPr>
        <w:pStyle w:val="Voetnoottekst"/>
        <w:spacing w:line="240" w:lineRule="auto"/>
      </w:pPr>
      <w:r>
        <w:rPr>
          <w:rStyle w:val="Voetnootmarkering"/>
        </w:rPr>
        <w:footnoteRef/>
      </w:r>
      <w:r>
        <w:t xml:space="preserve"> Kamerstukken 2025/2026, 23645-876</w:t>
      </w:r>
    </w:p>
  </w:footnote>
  <w:footnote w:id="2">
    <w:p w14:paraId="2E2D6997" w14:textId="77777777" w:rsidR="00B17158" w:rsidRDefault="00B17158" w:rsidP="00812670">
      <w:pPr>
        <w:pStyle w:val="Voetnoottekst"/>
        <w:spacing w:line="240" w:lineRule="auto"/>
      </w:pPr>
      <w:r>
        <w:rPr>
          <w:rStyle w:val="Voetnootmarkering"/>
        </w:rPr>
        <w:footnoteRef/>
      </w:r>
      <w:r>
        <w:t xml:space="preserve"> Regionale spoorvervoerders zijn los gecontracteerd in 2010 (net als NS), maar regionale spoorvervoerders worden op dit moment vertegenwoordigd door de Vereniging Regionale Spoorvervoerders. </w:t>
      </w:r>
    </w:p>
  </w:footnote>
  <w:footnote w:id="3">
    <w:p w14:paraId="1F3882B3" w14:textId="77777777" w:rsidR="00B17158" w:rsidRDefault="00B17158" w:rsidP="00812670">
      <w:pPr>
        <w:pStyle w:val="Voetnoottekst"/>
        <w:spacing w:line="240" w:lineRule="auto"/>
      </w:pPr>
      <w:r>
        <w:rPr>
          <w:rStyle w:val="Voetnootmarkering"/>
        </w:rPr>
        <w:footnoteRef/>
      </w:r>
      <w:r>
        <w:t xml:space="preserve"> Een student kan er ook voor kiezen om geen studentenreisproduct te gebruiken.</w:t>
      </w:r>
    </w:p>
  </w:footnote>
  <w:footnote w:id="4">
    <w:p w14:paraId="55FAD362" w14:textId="77777777" w:rsidR="00B17158" w:rsidRDefault="00B17158" w:rsidP="00812670">
      <w:pPr>
        <w:pStyle w:val="Voetnoottekst"/>
        <w:spacing w:line="240" w:lineRule="auto"/>
      </w:pPr>
      <w:r>
        <w:rPr>
          <w:rStyle w:val="Voetnootmarkering"/>
        </w:rPr>
        <w:footnoteRef/>
      </w:r>
      <w:r>
        <w:t xml:space="preserve"> Het bedrag aan prestatiebeurs dat de student krijgt toegevoegd aan de studieschuld, wordt grotendeels bepaald door het bedrag dat OCW betaalt aan de ov-bedrijven voor het studentenreisproduct. </w:t>
      </w:r>
      <w:proofErr w:type="gramStart"/>
      <w:r>
        <w:t>Indien</w:t>
      </w:r>
      <w:proofErr w:type="gramEnd"/>
      <w:r>
        <w:t xml:space="preserve"> de student een diploma haalt, wordt deze prestatiebeurs (tot dan toe onderdeel van de studieschuld) omgezet in een gift. Mocht de student geen diploma halen, wordt het bedrag omgezet in een lening.</w:t>
      </w:r>
    </w:p>
  </w:footnote>
  <w:footnote w:id="5">
    <w:p w14:paraId="128C45F3" w14:textId="77777777" w:rsidR="00B17158" w:rsidRDefault="00B17158" w:rsidP="00812670">
      <w:pPr>
        <w:pStyle w:val="Voetnoottekst"/>
        <w:spacing w:line="240" w:lineRule="auto"/>
      </w:pPr>
      <w:r>
        <w:rPr>
          <w:rStyle w:val="Voetnootmarkering"/>
        </w:rPr>
        <w:footnoteRef/>
      </w:r>
      <w:r>
        <w:t xml:space="preserve"> Een categorie bestaat uit het opleidingsniveau (MBO 18-, MBO 18+ of HBO/WO), week/weekendkaart en vervoerscategorie.</w:t>
      </w:r>
    </w:p>
  </w:footnote>
  <w:footnote w:id="6">
    <w:p w14:paraId="2A642B9C" w14:textId="77777777" w:rsidR="00B17158" w:rsidRDefault="00B17158" w:rsidP="00812670">
      <w:pPr>
        <w:pStyle w:val="Voetnoottekst"/>
        <w:spacing w:line="240" w:lineRule="auto"/>
      </w:pPr>
      <w:r>
        <w:rPr>
          <w:rStyle w:val="Voetnootmarkering"/>
        </w:rPr>
        <w:footnoteRef/>
      </w:r>
      <w:r>
        <w:t xml:space="preserve"> Omdat het huidige onderzoek 1,5 jaar na het laatste herijkingsonderzoek heeft plaatsgevonden (in plaats van 3 jaar), is de grens van 5% waarbij aanpassingen van de kaartprijs worden doorgevoerd ook aangepast (naar 2,5%). </w:t>
      </w:r>
    </w:p>
  </w:footnote>
  <w:footnote w:id="7">
    <w:p w14:paraId="5FE9B937" w14:textId="77777777" w:rsidR="00B17158" w:rsidRDefault="00B17158" w:rsidP="00B17158">
      <w:pPr>
        <w:pStyle w:val="Voetnoottekst"/>
      </w:pPr>
      <w:r>
        <w:rPr>
          <w:rStyle w:val="Voetnootmarkering"/>
        </w:rPr>
        <w:footnoteRef/>
      </w:r>
      <w:r>
        <w:t xml:space="preserve"> Kamerstukken II 2025/2026, 2026Z03652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592CE5" w14:paraId="2E15588F" w14:textId="77777777" w:rsidTr="006D2D53">
      <w:trPr>
        <w:trHeight w:hRule="exact" w:val="400"/>
      </w:trPr>
      <w:tc>
        <w:tcPr>
          <w:tcW w:w="7518" w:type="dxa"/>
        </w:tcPr>
        <w:p w14:paraId="20E5E1D4" w14:textId="77777777" w:rsidR="00527BD4" w:rsidRPr="00275984" w:rsidRDefault="00527BD4" w:rsidP="00BF4427">
          <w:pPr>
            <w:pStyle w:val="Huisstijl-Rubricering"/>
          </w:pPr>
        </w:p>
      </w:tc>
    </w:tr>
  </w:tbl>
  <w:p w14:paraId="03F337ED"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592CE5" w14:paraId="54BE55F4" w14:textId="77777777" w:rsidTr="003B528D">
      <w:tc>
        <w:tcPr>
          <w:tcW w:w="2160" w:type="dxa"/>
        </w:tcPr>
        <w:p w14:paraId="24B527A3" w14:textId="77777777" w:rsidR="002F71BB" w:rsidRPr="000407BB" w:rsidRDefault="00555C5E" w:rsidP="005D283A">
          <w:pPr>
            <w:pStyle w:val="Colofonkop"/>
            <w:framePr w:hSpace="0" w:wrap="auto" w:vAnchor="margin" w:hAnchor="text" w:xAlign="left" w:yAlign="inline"/>
          </w:pPr>
          <w:r>
            <w:t>Onze referentie</w:t>
          </w:r>
        </w:p>
      </w:tc>
    </w:tr>
    <w:tr w:rsidR="00592CE5" w14:paraId="4EDD52DE" w14:textId="77777777" w:rsidTr="002F71BB">
      <w:trPr>
        <w:trHeight w:val="259"/>
      </w:trPr>
      <w:tc>
        <w:tcPr>
          <w:tcW w:w="2160" w:type="dxa"/>
        </w:tcPr>
        <w:p w14:paraId="24F46542" w14:textId="1FDEE8ED" w:rsidR="00E35CF4" w:rsidRPr="005D283A" w:rsidRDefault="002C3F39" w:rsidP="0049501A">
          <w:pPr>
            <w:spacing w:line="180" w:lineRule="exact"/>
            <w:rPr>
              <w:sz w:val="13"/>
              <w:szCs w:val="13"/>
            </w:rPr>
          </w:pPr>
          <w:r w:rsidRPr="002C3F39">
            <w:rPr>
              <w:sz w:val="13"/>
              <w:szCs w:val="13"/>
            </w:rPr>
            <w:t>66513629</w:t>
          </w:r>
        </w:p>
      </w:tc>
    </w:tr>
  </w:tbl>
  <w:p w14:paraId="1BC0E9D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92CE5" w14:paraId="3B8C2365" w14:textId="77777777" w:rsidTr="001377D4">
      <w:trPr>
        <w:trHeight w:val="2636"/>
      </w:trPr>
      <w:tc>
        <w:tcPr>
          <w:tcW w:w="737" w:type="dxa"/>
        </w:tcPr>
        <w:p w14:paraId="02458F39" w14:textId="77777777" w:rsidR="00704845" w:rsidRDefault="00704845" w:rsidP="0047126E">
          <w:pPr>
            <w:framePr w:w="6339" w:h="2750" w:hRule="exact" w:hSpace="181" w:wrap="around" w:vAnchor="page" w:hAnchor="page" w:x="5586" w:y="1"/>
            <w:spacing w:line="240" w:lineRule="auto"/>
          </w:pPr>
        </w:p>
      </w:tc>
      <w:tc>
        <w:tcPr>
          <w:tcW w:w="5156" w:type="dxa"/>
        </w:tcPr>
        <w:p w14:paraId="41941C34" w14:textId="77777777" w:rsidR="00704845" w:rsidRDefault="00555C5E" w:rsidP="0047126E">
          <w:pPr>
            <w:framePr w:w="3873" w:h="2625" w:hRule="exact" w:wrap="around" w:vAnchor="page" w:hAnchor="page" w:x="6323" w:y="1"/>
          </w:pPr>
          <w:r>
            <w:rPr>
              <w:noProof/>
              <w:lang w:val="en-US" w:eastAsia="en-US"/>
            </w:rPr>
            <w:drawing>
              <wp:inline distT="0" distB="0" distL="0" distR="0" wp14:anchorId="5A82150B" wp14:editId="4B6E2568">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A0ACDF5" w14:textId="77777777" w:rsidR="00483ECA" w:rsidRDefault="00483ECA" w:rsidP="00D037A9"/>
      </w:tc>
    </w:tr>
  </w:tbl>
  <w:p w14:paraId="0A36A90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592CE5" w14:paraId="094901F7" w14:textId="77777777" w:rsidTr="0008539E">
      <w:trPr>
        <w:trHeight w:hRule="exact" w:val="572"/>
      </w:trPr>
      <w:tc>
        <w:tcPr>
          <w:tcW w:w="7520" w:type="dxa"/>
        </w:tcPr>
        <w:p w14:paraId="6DFFCC2E" w14:textId="77777777" w:rsidR="00527BD4" w:rsidRPr="00963440" w:rsidRDefault="00555C5E" w:rsidP="00210BA3">
          <w:pPr>
            <w:pStyle w:val="Huisstijl-Adres"/>
            <w:spacing w:after="0"/>
          </w:pPr>
          <w:r w:rsidRPr="009E3B07">
            <w:t>&gt;Retouradres </w:t>
          </w:r>
          <w:r>
            <w:t>Postbus 16375 2500 BJ Den Haag</w:t>
          </w:r>
          <w:r w:rsidRPr="009E3B07">
            <w:t xml:space="preserve"> </w:t>
          </w:r>
        </w:p>
      </w:tc>
    </w:tr>
    <w:tr w:rsidR="00592CE5" w14:paraId="4E45B0F1" w14:textId="77777777" w:rsidTr="00E776C6">
      <w:trPr>
        <w:cantSplit/>
        <w:trHeight w:hRule="exact" w:val="238"/>
      </w:trPr>
      <w:tc>
        <w:tcPr>
          <w:tcW w:w="7520" w:type="dxa"/>
        </w:tcPr>
        <w:p w14:paraId="50DD20F1" w14:textId="77777777" w:rsidR="00093ABC" w:rsidRPr="00963440" w:rsidRDefault="00093ABC" w:rsidP="00963440"/>
      </w:tc>
    </w:tr>
    <w:tr w:rsidR="00592CE5" w14:paraId="76A44B1A" w14:textId="77777777" w:rsidTr="00E776C6">
      <w:trPr>
        <w:cantSplit/>
        <w:trHeight w:hRule="exact" w:val="1520"/>
      </w:trPr>
      <w:tc>
        <w:tcPr>
          <w:tcW w:w="7520" w:type="dxa"/>
        </w:tcPr>
        <w:p w14:paraId="62A1DCE6" w14:textId="77777777" w:rsidR="00A604D3" w:rsidRPr="00963440" w:rsidRDefault="00A604D3" w:rsidP="00963440"/>
      </w:tc>
    </w:tr>
    <w:tr w:rsidR="00592CE5" w14:paraId="59CD043D" w14:textId="77777777" w:rsidTr="00E776C6">
      <w:trPr>
        <w:trHeight w:hRule="exact" w:val="1077"/>
      </w:trPr>
      <w:tc>
        <w:tcPr>
          <w:tcW w:w="7520" w:type="dxa"/>
        </w:tcPr>
        <w:p w14:paraId="17E225B3" w14:textId="77777777" w:rsidR="00892BA5" w:rsidRPr="00035E67" w:rsidRDefault="00892BA5" w:rsidP="00892BA5">
          <w:pPr>
            <w:tabs>
              <w:tab w:val="left" w:pos="740"/>
            </w:tabs>
            <w:autoSpaceDE w:val="0"/>
            <w:autoSpaceDN w:val="0"/>
            <w:adjustRightInd w:val="0"/>
            <w:rPr>
              <w:rFonts w:cs="Verdana"/>
              <w:szCs w:val="18"/>
            </w:rPr>
          </w:pPr>
        </w:p>
      </w:tc>
    </w:tr>
  </w:tbl>
  <w:p w14:paraId="29288B8D" w14:textId="77777777" w:rsidR="006F273B" w:rsidRDefault="006F273B" w:rsidP="00BC4AE3">
    <w:pPr>
      <w:pStyle w:val="Koptekst"/>
    </w:pPr>
  </w:p>
  <w:p w14:paraId="137E6F93" w14:textId="77777777" w:rsidR="00153BD0" w:rsidRDefault="00153BD0" w:rsidP="00BC4AE3">
    <w:pPr>
      <w:pStyle w:val="Koptekst"/>
    </w:pPr>
  </w:p>
  <w:p w14:paraId="748B1B96" w14:textId="77777777" w:rsidR="0044605E" w:rsidRDefault="0044605E" w:rsidP="00BC4AE3">
    <w:pPr>
      <w:pStyle w:val="Koptekst"/>
    </w:pPr>
  </w:p>
  <w:p w14:paraId="17AE4ABF" w14:textId="77777777" w:rsidR="0044605E" w:rsidRDefault="0044605E" w:rsidP="00BC4AE3">
    <w:pPr>
      <w:pStyle w:val="Koptekst"/>
    </w:pPr>
  </w:p>
  <w:p w14:paraId="1476419A"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512234C"/>
    <w:multiLevelType w:val="hybridMultilevel"/>
    <w:tmpl w:val="A0903E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B8BC9134">
      <w:start w:val="1"/>
      <w:numFmt w:val="bullet"/>
      <w:pStyle w:val="Lijstopsomteken"/>
      <w:lvlText w:val="•"/>
      <w:lvlJc w:val="left"/>
      <w:pPr>
        <w:tabs>
          <w:tab w:val="num" w:pos="227"/>
        </w:tabs>
        <w:ind w:left="227" w:hanging="227"/>
      </w:pPr>
      <w:rPr>
        <w:rFonts w:ascii="Verdana" w:hAnsi="Verdana" w:hint="default"/>
        <w:sz w:val="18"/>
        <w:szCs w:val="18"/>
      </w:rPr>
    </w:lvl>
    <w:lvl w:ilvl="1" w:tplc="0030792C" w:tentative="1">
      <w:start w:val="1"/>
      <w:numFmt w:val="bullet"/>
      <w:lvlText w:val="o"/>
      <w:lvlJc w:val="left"/>
      <w:pPr>
        <w:tabs>
          <w:tab w:val="num" w:pos="1440"/>
        </w:tabs>
        <w:ind w:left="1440" w:hanging="360"/>
      </w:pPr>
      <w:rPr>
        <w:rFonts w:ascii="Courier New" w:hAnsi="Courier New" w:cs="Courier New" w:hint="default"/>
      </w:rPr>
    </w:lvl>
    <w:lvl w:ilvl="2" w:tplc="F48422E4" w:tentative="1">
      <w:start w:val="1"/>
      <w:numFmt w:val="bullet"/>
      <w:lvlText w:val=""/>
      <w:lvlJc w:val="left"/>
      <w:pPr>
        <w:tabs>
          <w:tab w:val="num" w:pos="2160"/>
        </w:tabs>
        <w:ind w:left="2160" w:hanging="360"/>
      </w:pPr>
      <w:rPr>
        <w:rFonts w:ascii="Wingdings" w:hAnsi="Wingdings" w:hint="default"/>
      </w:rPr>
    </w:lvl>
    <w:lvl w:ilvl="3" w:tplc="F6084530" w:tentative="1">
      <w:start w:val="1"/>
      <w:numFmt w:val="bullet"/>
      <w:lvlText w:val=""/>
      <w:lvlJc w:val="left"/>
      <w:pPr>
        <w:tabs>
          <w:tab w:val="num" w:pos="2880"/>
        </w:tabs>
        <w:ind w:left="2880" w:hanging="360"/>
      </w:pPr>
      <w:rPr>
        <w:rFonts w:ascii="Symbol" w:hAnsi="Symbol" w:hint="default"/>
      </w:rPr>
    </w:lvl>
    <w:lvl w:ilvl="4" w:tplc="BB427748" w:tentative="1">
      <w:start w:val="1"/>
      <w:numFmt w:val="bullet"/>
      <w:lvlText w:val="o"/>
      <w:lvlJc w:val="left"/>
      <w:pPr>
        <w:tabs>
          <w:tab w:val="num" w:pos="3600"/>
        </w:tabs>
        <w:ind w:left="3600" w:hanging="360"/>
      </w:pPr>
      <w:rPr>
        <w:rFonts w:ascii="Courier New" w:hAnsi="Courier New" w:cs="Courier New" w:hint="default"/>
      </w:rPr>
    </w:lvl>
    <w:lvl w:ilvl="5" w:tplc="923A5BEA" w:tentative="1">
      <w:start w:val="1"/>
      <w:numFmt w:val="bullet"/>
      <w:lvlText w:val=""/>
      <w:lvlJc w:val="left"/>
      <w:pPr>
        <w:tabs>
          <w:tab w:val="num" w:pos="4320"/>
        </w:tabs>
        <w:ind w:left="4320" w:hanging="360"/>
      </w:pPr>
      <w:rPr>
        <w:rFonts w:ascii="Wingdings" w:hAnsi="Wingdings" w:hint="default"/>
      </w:rPr>
    </w:lvl>
    <w:lvl w:ilvl="6" w:tplc="B0C2B90A" w:tentative="1">
      <w:start w:val="1"/>
      <w:numFmt w:val="bullet"/>
      <w:lvlText w:val=""/>
      <w:lvlJc w:val="left"/>
      <w:pPr>
        <w:tabs>
          <w:tab w:val="num" w:pos="5040"/>
        </w:tabs>
        <w:ind w:left="5040" w:hanging="360"/>
      </w:pPr>
      <w:rPr>
        <w:rFonts w:ascii="Symbol" w:hAnsi="Symbol" w:hint="default"/>
      </w:rPr>
    </w:lvl>
    <w:lvl w:ilvl="7" w:tplc="5DC24052" w:tentative="1">
      <w:start w:val="1"/>
      <w:numFmt w:val="bullet"/>
      <w:lvlText w:val="o"/>
      <w:lvlJc w:val="left"/>
      <w:pPr>
        <w:tabs>
          <w:tab w:val="num" w:pos="5760"/>
        </w:tabs>
        <w:ind w:left="5760" w:hanging="360"/>
      </w:pPr>
      <w:rPr>
        <w:rFonts w:ascii="Courier New" w:hAnsi="Courier New" w:cs="Courier New" w:hint="default"/>
      </w:rPr>
    </w:lvl>
    <w:lvl w:ilvl="8" w:tplc="0B40D8D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024914"/>
    <w:multiLevelType w:val="hybridMultilevel"/>
    <w:tmpl w:val="2CC6F964"/>
    <w:lvl w:ilvl="0" w:tplc="43A2FD9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2AE4BCC4">
      <w:start w:val="1"/>
      <w:numFmt w:val="bullet"/>
      <w:pStyle w:val="Lijstopsomteken2"/>
      <w:lvlText w:val="–"/>
      <w:lvlJc w:val="left"/>
      <w:pPr>
        <w:tabs>
          <w:tab w:val="num" w:pos="227"/>
        </w:tabs>
        <w:ind w:left="227" w:firstLine="0"/>
      </w:pPr>
      <w:rPr>
        <w:rFonts w:ascii="Verdana" w:hAnsi="Verdana" w:hint="default"/>
      </w:rPr>
    </w:lvl>
    <w:lvl w:ilvl="1" w:tplc="50C88102" w:tentative="1">
      <w:start w:val="1"/>
      <w:numFmt w:val="bullet"/>
      <w:lvlText w:val="o"/>
      <w:lvlJc w:val="left"/>
      <w:pPr>
        <w:tabs>
          <w:tab w:val="num" w:pos="1440"/>
        </w:tabs>
        <w:ind w:left="1440" w:hanging="360"/>
      </w:pPr>
      <w:rPr>
        <w:rFonts w:ascii="Courier New" w:hAnsi="Courier New" w:cs="Courier New" w:hint="default"/>
      </w:rPr>
    </w:lvl>
    <w:lvl w:ilvl="2" w:tplc="9154E79E" w:tentative="1">
      <w:start w:val="1"/>
      <w:numFmt w:val="bullet"/>
      <w:lvlText w:val=""/>
      <w:lvlJc w:val="left"/>
      <w:pPr>
        <w:tabs>
          <w:tab w:val="num" w:pos="2160"/>
        </w:tabs>
        <w:ind w:left="2160" w:hanging="360"/>
      </w:pPr>
      <w:rPr>
        <w:rFonts w:ascii="Wingdings" w:hAnsi="Wingdings" w:hint="default"/>
      </w:rPr>
    </w:lvl>
    <w:lvl w:ilvl="3" w:tplc="535EAB9E" w:tentative="1">
      <w:start w:val="1"/>
      <w:numFmt w:val="bullet"/>
      <w:lvlText w:val=""/>
      <w:lvlJc w:val="left"/>
      <w:pPr>
        <w:tabs>
          <w:tab w:val="num" w:pos="2880"/>
        </w:tabs>
        <w:ind w:left="2880" w:hanging="360"/>
      </w:pPr>
      <w:rPr>
        <w:rFonts w:ascii="Symbol" w:hAnsi="Symbol" w:hint="default"/>
      </w:rPr>
    </w:lvl>
    <w:lvl w:ilvl="4" w:tplc="7CB0CCD6" w:tentative="1">
      <w:start w:val="1"/>
      <w:numFmt w:val="bullet"/>
      <w:lvlText w:val="o"/>
      <w:lvlJc w:val="left"/>
      <w:pPr>
        <w:tabs>
          <w:tab w:val="num" w:pos="3600"/>
        </w:tabs>
        <w:ind w:left="3600" w:hanging="360"/>
      </w:pPr>
      <w:rPr>
        <w:rFonts w:ascii="Courier New" w:hAnsi="Courier New" w:cs="Courier New" w:hint="default"/>
      </w:rPr>
    </w:lvl>
    <w:lvl w:ilvl="5" w:tplc="D3B69D7E" w:tentative="1">
      <w:start w:val="1"/>
      <w:numFmt w:val="bullet"/>
      <w:lvlText w:val=""/>
      <w:lvlJc w:val="left"/>
      <w:pPr>
        <w:tabs>
          <w:tab w:val="num" w:pos="4320"/>
        </w:tabs>
        <w:ind w:left="4320" w:hanging="360"/>
      </w:pPr>
      <w:rPr>
        <w:rFonts w:ascii="Wingdings" w:hAnsi="Wingdings" w:hint="default"/>
      </w:rPr>
    </w:lvl>
    <w:lvl w:ilvl="6" w:tplc="90E63A44" w:tentative="1">
      <w:start w:val="1"/>
      <w:numFmt w:val="bullet"/>
      <w:lvlText w:val=""/>
      <w:lvlJc w:val="left"/>
      <w:pPr>
        <w:tabs>
          <w:tab w:val="num" w:pos="5040"/>
        </w:tabs>
        <w:ind w:left="5040" w:hanging="360"/>
      </w:pPr>
      <w:rPr>
        <w:rFonts w:ascii="Symbol" w:hAnsi="Symbol" w:hint="default"/>
      </w:rPr>
    </w:lvl>
    <w:lvl w:ilvl="7" w:tplc="CB7615A4" w:tentative="1">
      <w:start w:val="1"/>
      <w:numFmt w:val="bullet"/>
      <w:lvlText w:val="o"/>
      <w:lvlJc w:val="left"/>
      <w:pPr>
        <w:tabs>
          <w:tab w:val="num" w:pos="5760"/>
        </w:tabs>
        <w:ind w:left="5760" w:hanging="360"/>
      </w:pPr>
      <w:rPr>
        <w:rFonts w:ascii="Courier New" w:hAnsi="Courier New" w:cs="Courier New" w:hint="default"/>
      </w:rPr>
    </w:lvl>
    <w:lvl w:ilvl="8" w:tplc="9C90C3C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42894216">
    <w:abstractNumId w:val="11"/>
  </w:num>
  <w:num w:numId="2" w16cid:durableId="962035003">
    <w:abstractNumId w:val="7"/>
  </w:num>
  <w:num w:numId="3" w16cid:durableId="2110659131">
    <w:abstractNumId w:val="6"/>
  </w:num>
  <w:num w:numId="4" w16cid:durableId="1229338910">
    <w:abstractNumId w:val="5"/>
  </w:num>
  <w:num w:numId="5" w16cid:durableId="946884752">
    <w:abstractNumId w:val="4"/>
  </w:num>
  <w:num w:numId="6" w16cid:durableId="551424566">
    <w:abstractNumId w:val="8"/>
  </w:num>
  <w:num w:numId="7" w16cid:durableId="3175057">
    <w:abstractNumId w:val="3"/>
  </w:num>
  <w:num w:numId="8" w16cid:durableId="1837113419">
    <w:abstractNumId w:val="2"/>
  </w:num>
  <w:num w:numId="9" w16cid:durableId="1459182139">
    <w:abstractNumId w:val="1"/>
  </w:num>
  <w:num w:numId="10" w16cid:durableId="1901938116">
    <w:abstractNumId w:val="0"/>
  </w:num>
  <w:num w:numId="11" w16cid:durableId="587663011">
    <w:abstractNumId w:val="10"/>
  </w:num>
  <w:num w:numId="12" w16cid:durableId="877472815">
    <w:abstractNumId w:val="13"/>
  </w:num>
  <w:num w:numId="13" w16cid:durableId="1678270980">
    <w:abstractNumId w:val="15"/>
  </w:num>
  <w:num w:numId="14" w16cid:durableId="15423813">
    <w:abstractNumId w:val="14"/>
  </w:num>
  <w:num w:numId="15" w16cid:durableId="272396225">
    <w:abstractNumId w:val="9"/>
  </w:num>
  <w:num w:numId="16" w16cid:durableId="8496171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1C66"/>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572C5"/>
    <w:rsid w:val="0006024D"/>
    <w:rsid w:val="00062055"/>
    <w:rsid w:val="00065462"/>
    <w:rsid w:val="00071F28"/>
    <w:rsid w:val="00074079"/>
    <w:rsid w:val="000765B6"/>
    <w:rsid w:val="0008289C"/>
    <w:rsid w:val="000850AA"/>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411A"/>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3F09"/>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47FCE"/>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4CDE"/>
    <w:rsid w:val="00286998"/>
    <w:rsid w:val="00291AB7"/>
    <w:rsid w:val="0029422B"/>
    <w:rsid w:val="00294DCB"/>
    <w:rsid w:val="00295006"/>
    <w:rsid w:val="002A06CE"/>
    <w:rsid w:val="002A37B5"/>
    <w:rsid w:val="002A6722"/>
    <w:rsid w:val="002B153C"/>
    <w:rsid w:val="002B52FC"/>
    <w:rsid w:val="002C26D0"/>
    <w:rsid w:val="002C2830"/>
    <w:rsid w:val="002C3CE0"/>
    <w:rsid w:val="002C3F39"/>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0C46"/>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2B4"/>
    <w:rsid w:val="003C2CCB"/>
    <w:rsid w:val="003C4A1C"/>
    <w:rsid w:val="003C5BCB"/>
    <w:rsid w:val="003D39EC"/>
    <w:rsid w:val="003D40EA"/>
    <w:rsid w:val="003E3DD5"/>
    <w:rsid w:val="003F07C6"/>
    <w:rsid w:val="003F1F6B"/>
    <w:rsid w:val="003F3757"/>
    <w:rsid w:val="003F44B7"/>
    <w:rsid w:val="004008E9"/>
    <w:rsid w:val="00407991"/>
    <w:rsid w:val="0041019E"/>
    <w:rsid w:val="00410CE1"/>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1CFF"/>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0AD1"/>
    <w:rsid w:val="00516022"/>
    <w:rsid w:val="00521CEE"/>
    <w:rsid w:val="00527BD4"/>
    <w:rsid w:val="00533061"/>
    <w:rsid w:val="00533FA1"/>
    <w:rsid w:val="00534C77"/>
    <w:rsid w:val="005403C8"/>
    <w:rsid w:val="00541AD9"/>
    <w:rsid w:val="005429DC"/>
    <w:rsid w:val="00555C5E"/>
    <w:rsid w:val="005565F9"/>
    <w:rsid w:val="00563492"/>
    <w:rsid w:val="005639D2"/>
    <w:rsid w:val="00563C2B"/>
    <w:rsid w:val="00565739"/>
    <w:rsid w:val="00573041"/>
    <w:rsid w:val="00575B80"/>
    <w:rsid w:val="00577559"/>
    <w:rsid w:val="005819CE"/>
    <w:rsid w:val="0058298D"/>
    <w:rsid w:val="00590595"/>
    <w:rsid w:val="00592CE5"/>
    <w:rsid w:val="00593C2B"/>
    <w:rsid w:val="00595231"/>
    <w:rsid w:val="00595CBB"/>
    <w:rsid w:val="00596166"/>
    <w:rsid w:val="00597F64"/>
    <w:rsid w:val="005A1AF5"/>
    <w:rsid w:val="005A207F"/>
    <w:rsid w:val="005A2F35"/>
    <w:rsid w:val="005A7512"/>
    <w:rsid w:val="005B3441"/>
    <w:rsid w:val="005B463E"/>
    <w:rsid w:val="005B4FAC"/>
    <w:rsid w:val="005B5D8B"/>
    <w:rsid w:val="005B7FDE"/>
    <w:rsid w:val="005C34E1"/>
    <w:rsid w:val="005C3FE0"/>
    <w:rsid w:val="005C4C82"/>
    <w:rsid w:val="005C6260"/>
    <w:rsid w:val="005C740C"/>
    <w:rsid w:val="005D283A"/>
    <w:rsid w:val="005D625B"/>
    <w:rsid w:val="005E3322"/>
    <w:rsid w:val="005E436C"/>
    <w:rsid w:val="005E64E2"/>
    <w:rsid w:val="005E747F"/>
    <w:rsid w:val="005F1050"/>
    <w:rsid w:val="005F62D3"/>
    <w:rsid w:val="005F6D11"/>
    <w:rsid w:val="00600CF0"/>
    <w:rsid w:val="006048F4"/>
    <w:rsid w:val="0060660A"/>
    <w:rsid w:val="00610A24"/>
    <w:rsid w:val="00613B1D"/>
    <w:rsid w:val="00617311"/>
    <w:rsid w:val="00617A44"/>
    <w:rsid w:val="006202B6"/>
    <w:rsid w:val="006205C0"/>
    <w:rsid w:val="00623CB2"/>
    <w:rsid w:val="00625C10"/>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07D0"/>
    <w:rsid w:val="00674A89"/>
    <w:rsid w:val="00674F3D"/>
    <w:rsid w:val="00682ADE"/>
    <w:rsid w:val="00682E02"/>
    <w:rsid w:val="00685545"/>
    <w:rsid w:val="006864B3"/>
    <w:rsid w:val="00686AED"/>
    <w:rsid w:val="00692BA9"/>
    <w:rsid w:val="00692C30"/>
    <w:rsid w:val="00692D64"/>
    <w:rsid w:val="006A10F8"/>
    <w:rsid w:val="006A2100"/>
    <w:rsid w:val="006A37CF"/>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328E"/>
    <w:rsid w:val="00735D88"/>
    <w:rsid w:val="0073720D"/>
    <w:rsid w:val="00737507"/>
    <w:rsid w:val="00740712"/>
    <w:rsid w:val="00741309"/>
    <w:rsid w:val="00742AB9"/>
    <w:rsid w:val="00751A6A"/>
    <w:rsid w:val="00754AD6"/>
    <w:rsid w:val="00754FBF"/>
    <w:rsid w:val="007615AC"/>
    <w:rsid w:val="00764585"/>
    <w:rsid w:val="00767FEF"/>
    <w:rsid w:val="007709EF"/>
    <w:rsid w:val="00776D7D"/>
    <w:rsid w:val="00783559"/>
    <w:rsid w:val="007846ED"/>
    <w:rsid w:val="007851C4"/>
    <w:rsid w:val="00785C3B"/>
    <w:rsid w:val="00797AA5"/>
    <w:rsid w:val="007A26BD"/>
    <w:rsid w:val="007A4105"/>
    <w:rsid w:val="007A45F3"/>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670"/>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44646"/>
    <w:rsid w:val="008547BA"/>
    <w:rsid w:val="00854B28"/>
    <w:rsid w:val="008553C7"/>
    <w:rsid w:val="00857FEB"/>
    <w:rsid w:val="008601AF"/>
    <w:rsid w:val="0086274A"/>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5890"/>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171E"/>
    <w:rsid w:val="009528B2"/>
    <w:rsid w:val="009607C4"/>
    <w:rsid w:val="00962F2A"/>
    <w:rsid w:val="00963440"/>
    <w:rsid w:val="009716D8"/>
    <w:rsid w:val="009718F9"/>
    <w:rsid w:val="009724E4"/>
    <w:rsid w:val="00972FB9"/>
    <w:rsid w:val="00973FA4"/>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20F7"/>
    <w:rsid w:val="009C3F20"/>
    <w:rsid w:val="009C64FB"/>
    <w:rsid w:val="009C7CA1"/>
    <w:rsid w:val="009D043D"/>
    <w:rsid w:val="009D716F"/>
    <w:rsid w:val="009E3B07"/>
    <w:rsid w:val="009F3259"/>
    <w:rsid w:val="009F541F"/>
    <w:rsid w:val="00A01373"/>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3207"/>
    <w:rsid w:val="00A45A14"/>
    <w:rsid w:val="00A46FEF"/>
    <w:rsid w:val="00A47948"/>
    <w:rsid w:val="00A503A4"/>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94D43"/>
    <w:rsid w:val="00AA70B0"/>
    <w:rsid w:val="00AA7FC9"/>
    <w:rsid w:val="00AB237D"/>
    <w:rsid w:val="00AB50E6"/>
    <w:rsid w:val="00AB5933"/>
    <w:rsid w:val="00AD34B3"/>
    <w:rsid w:val="00AD5B44"/>
    <w:rsid w:val="00AD7608"/>
    <w:rsid w:val="00AE013D"/>
    <w:rsid w:val="00AE11B7"/>
    <w:rsid w:val="00AE18BA"/>
    <w:rsid w:val="00AE7130"/>
    <w:rsid w:val="00AE7F68"/>
    <w:rsid w:val="00AE7F7C"/>
    <w:rsid w:val="00AF2321"/>
    <w:rsid w:val="00AF52F6"/>
    <w:rsid w:val="00AF7237"/>
    <w:rsid w:val="00B0043A"/>
    <w:rsid w:val="00B00D75"/>
    <w:rsid w:val="00B0690C"/>
    <w:rsid w:val="00B070CB"/>
    <w:rsid w:val="00B12456"/>
    <w:rsid w:val="00B132B0"/>
    <w:rsid w:val="00B17158"/>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32BD"/>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F88"/>
    <w:rsid w:val="00BE4756"/>
    <w:rsid w:val="00BE5ED9"/>
    <w:rsid w:val="00BE7B41"/>
    <w:rsid w:val="00BF4427"/>
    <w:rsid w:val="00BF46B6"/>
    <w:rsid w:val="00BF5675"/>
    <w:rsid w:val="00C059FE"/>
    <w:rsid w:val="00C15A91"/>
    <w:rsid w:val="00C206F1"/>
    <w:rsid w:val="00C2159D"/>
    <w:rsid w:val="00C217E1"/>
    <w:rsid w:val="00C219B1"/>
    <w:rsid w:val="00C231E2"/>
    <w:rsid w:val="00C24618"/>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83E26"/>
    <w:rsid w:val="00C965EF"/>
    <w:rsid w:val="00C97C80"/>
    <w:rsid w:val="00CA1D00"/>
    <w:rsid w:val="00CA35E4"/>
    <w:rsid w:val="00CA47D3"/>
    <w:rsid w:val="00CA6533"/>
    <w:rsid w:val="00CA68FA"/>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05FA"/>
    <w:rsid w:val="00D0140D"/>
    <w:rsid w:val="00D01C92"/>
    <w:rsid w:val="00D030AB"/>
    <w:rsid w:val="00D037A9"/>
    <w:rsid w:val="00D0609E"/>
    <w:rsid w:val="00D078E1"/>
    <w:rsid w:val="00D100E9"/>
    <w:rsid w:val="00D17084"/>
    <w:rsid w:val="00D174DF"/>
    <w:rsid w:val="00D1791D"/>
    <w:rsid w:val="00D21081"/>
    <w:rsid w:val="00D21E4B"/>
    <w:rsid w:val="00D22588"/>
    <w:rsid w:val="00D22689"/>
    <w:rsid w:val="00D23522"/>
    <w:rsid w:val="00D264D6"/>
    <w:rsid w:val="00D3264B"/>
    <w:rsid w:val="00D33144"/>
    <w:rsid w:val="00D33BF0"/>
    <w:rsid w:val="00D33F30"/>
    <w:rsid w:val="00D34892"/>
    <w:rsid w:val="00D36088"/>
    <w:rsid w:val="00D36447"/>
    <w:rsid w:val="00D41CE8"/>
    <w:rsid w:val="00D42643"/>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A66E6"/>
    <w:rsid w:val="00DB0E86"/>
    <w:rsid w:val="00DB36FE"/>
    <w:rsid w:val="00DB38E3"/>
    <w:rsid w:val="00DB533A"/>
    <w:rsid w:val="00DB6307"/>
    <w:rsid w:val="00DC18F3"/>
    <w:rsid w:val="00DC2443"/>
    <w:rsid w:val="00DC5D6C"/>
    <w:rsid w:val="00DC691C"/>
    <w:rsid w:val="00DD1DCD"/>
    <w:rsid w:val="00DD338F"/>
    <w:rsid w:val="00DD3404"/>
    <w:rsid w:val="00DD5660"/>
    <w:rsid w:val="00DD66F2"/>
    <w:rsid w:val="00DE1EB5"/>
    <w:rsid w:val="00DE3FE0"/>
    <w:rsid w:val="00DE578A"/>
    <w:rsid w:val="00DF14F7"/>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4784F"/>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478E"/>
    <w:rsid w:val="00EB5322"/>
    <w:rsid w:val="00EB73E0"/>
    <w:rsid w:val="00EC0DFF"/>
    <w:rsid w:val="00EC237D"/>
    <w:rsid w:val="00EC25AB"/>
    <w:rsid w:val="00EC25B9"/>
    <w:rsid w:val="00EC272F"/>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2B7"/>
    <w:rsid w:val="00EF4D48"/>
    <w:rsid w:val="00EF60DC"/>
    <w:rsid w:val="00F00CCE"/>
    <w:rsid w:val="00F00F54"/>
    <w:rsid w:val="00F01557"/>
    <w:rsid w:val="00F03963"/>
    <w:rsid w:val="00F05507"/>
    <w:rsid w:val="00F0733A"/>
    <w:rsid w:val="00F07E03"/>
    <w:rsid w:val="00F11068"/>
    <w:rsid w:val="00F115FD"/>
    <w:rsid w:val="00F1256D"/>
    <w:rsid w:val="00F13A4E"/>
    <w:rsid w:val="00F1454F"/>
    <w:rsid w:val="00F151A3"/>
    <w:rsid w:val="00F16AD1"/>
    <w:rsid w:val="00F172BB"/>
    <w:rsid w:val="00F17B10"/>
    <w:rsid w:val="00F17BFE"/>
    <w:rsid w:val="00F20147"/>
    <w:rsid w:val="00F21BEF"/>
    <w:rsid w:val="00F2234B"/>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49CA"/>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B8E3A"/>
  <w15:docId w15:val="{7B488C9B-4AF2-4B43-BDB7-F918ACB9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oetnootmarkering">
    <w:name w:val="footnote reference"/>
    <w:basedOn w:val="Standaardalinea-lettertype"/>
    <w:rsid w:val="0086274A"/>
    <w:rPr>
      <w:vertAlign w:val="superscript"/>
    </w:rPr>
  </w:style>
  <w:style w:type="paragraph" w:styleId="Revisie">
    <w:name w:val="Revision"/>
    <w:hidden/>
    <w:uiPriority w:val="99"/>
    <w:semiHidden/>
    <w:rsid w:val="005B7FDE"/>
    <w:rPr>
      <w:rFonts w:ascii="Verdana" w:hAnsi="Verdana"/>
      <w:sz w:val="18"/>
      <w:szCs w:val="24"/>
      <w:lang w:val="nl-NL" w:eastAsia="nl-NL"/>
    </w:rPr>
  </w:style>
  <w:style w:type="character" w:styleId="Verwijzingopmerking">
    <w:name w:val="annotation reference"/>
    <w:basedOn w:val="Standaardalinea-lettertype"/>
    <w:rsid w:val="00CA68FA"/>
    <w:rPr>
      <w:sz w:val="16"/>
      <w:szCs w:val="16"/>
    </w:rPr>
  </w:style>
  <w:style w:type="paragraph" w:styleId="Tekstopmerking">
    <w:name w:val="annotation text"/>
    <w:basedOn w:val="Standaard"/>
    <w:link w:val="TekstopmerkingChar"/>
    <w:rsid w:val="00CA68FA"/>
    <w:pPr>
      <w:spacing w:line="240" w:lineRule="auto"/>
    </w:pPr>
    <w:rPr>
      <w:sz w:val="20"/>
      <w:szCs w:val="20"/>
    </w:rPr>
  </w:style>
  <w:style w:type="character" w:customStyle="1" w:styleId="TekstopmerkingChar">
    <w:name w:val="Tekst opmerking Char"/>
    <w:basedOn w:val="Standaardalinea-lettertype"/>
    <w:link w:val="Tekstopmerking"/>
    <w:rsid w:val="00CA68FA"/>
    <w:rPr>
      <w:rFonts w:ascii="Verdana" w:hAnsi="Verdana"/>
      <w:lang w:val="nl-NL" w:eastAsia="nl-NL"/>
    </w:rPr>
  </w:style>
  <w:style w:type="paragraph" w:styleId="Onderwerpvanopmerking">
    <w:name w:val="annotation subject"/>
    <w:basedOn w:val="Tekstopmerking"/>
    <w:next w:val="Tekstopmerking"/>
    <w:link w:val="OnderwerpvanopmerkingChar"/>
    <w:rsid w:val="00CA68FA"/>
    <w:rPr>
      <w:b/>
      <w:bCs/>
    </w:rPr>
  </w:style>
  <w:style w:type="character" w:customStyle="1" w:styleId="OnderwerpvanopmerkingChar">
    <w:name w:val="Onderwerp van opmerking Char"/>
    <w:basedOn w:val="TekstopmerkingChar"/>
    <w:link w:val="Onderwerpvanopmerking"/>
    <w:rsid w:val="00CA68FA"/>
    <w:rPr>
      <w:rFonts w:ascii="Verdana" w:hAnsi="Verdana"/>
      <w:b/>
      <w:bCs/>
      <w:lang w:val="nl-NL" w:eastAsia="nl-NL"/>
    </w:rPr>
  </w:style>
  <w:style w:type="paragraph" w:styleId="Lijstalinea">
    <w:name w:val="List Paragraph"/>
    <w:basedOn w:val="Standaard"/>
    <w:uiPriority w:val="34"/>
    <w:qFormat/>
    <w:rsid w:val="00CA68FA"/>
    <w:pPr>
      <w:ind w:left="720"/>
      <w:contextualSpacing/>
    </w:pPr>
  </w:style>
  <w:style w:type="character" w:customStyle="1" w:styleId="VoetnoottekstChar">
    <w:name w:val="Voetnoottekst Char"/>
    <w:basedOn w:val="Standaardalinea-lettertype"/>
    <w:link w:val="Voetnoottekst"/>
    <w:semiHidden/>
    <w:rsid w:val="005E747F"/>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861</ap:Words>
  <ap:Characters>4739</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5589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2026-09-18T12:53:00.0000000Z</lastPrinted>
  <dcterms:created xsi:type="dcterms:W3CDTF">2026-10-05T12:26:00.0000000Z</dcterms:created>
  <dcterms:modified xsi:type="dcterms:W3CDTF">2026-10-05T12:26:00.0000000Z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O200OMM</vt:lpwstr>
  </property>
  <property fmtid="{D5CDD505-2E9C-101B-9397-08002B2CF9AE}" pid="3" name="Author">
    <vt:lpwstr>O200OMM</vt:lpwstr>
  </property>
  <property fmtid="{D5CDD505-2E9C-101B-9397-08002B2CF9AE}" pid="4" name="cs_objectid">
    <vt:lpwstr>66513629</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Eindrapportage herijking studentenreisproduct 2025</vt:lpwstr>
  </property>
  <property fmtid="{D5CDD505-2E9C-101B-9397-08002B2CF9AE}" pid="9" name="ocw_directie">
    <vt:lpwstr>HOENS/A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Initiatiefbrief aan de Eerste/Tweede Kamer</vt:lpwstr>
  </property>
  <property fmtid="{D5CDD505-2E9C-101B-9397-08002B2CF9AE}" pid="17" name="TemplateId">
    <vt:lpwstr>E6E943B1C7854D4D80FEAF0D1463D6A0</vt:lpwstr>
  </property>
  <property fmtid="{D5CDD505-2E9C-101B-9397-08002B2CF9AE}" pid="18" name="Typist">
    <vt:lpwstr>O200OMM</vt:lpwstr>
  </property>
</Properties>
</file>